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0354" w14:textId="77777777" w:rsidR="0096418F" w:rsidRDefault="0096418F"/>
    <w:p w14:paraId="1627D31F" w14:textId="03B3557D" w:rsidR="005B06D9" w:rsidRDefault="003B528F" w:rsidP="005B06D9">
      <w:pPr>
        <w:jc w:val="center"/>
        <w:rPr>
          <w:b/>
          <w:bCs/>
          <w:sz w:val="24"/>
          <w:szCs w:val="24"/>
          <w:u w:val="single"/>
        </w:rPr>
      </w:pPr>
      <w:r>
        <w:rPr>
          <w:b/>
          <w:bCs/>
          <w:sz w:val="24"/>
          <w:szCs w:val="24"/>
          <w:u w:val="single"/>
        </w:rPr>
        <w:t>Shotley</w:t>
      </w:r>
      <w:r w:rsidR="005B06D9" w:rsidRPr="009218D6">
        <w:rPr>
          <w:b/>
          <w:bCs/>
          <w:sz w:val="24"/>
          <w:szCs w:val="24"/>
          <w:u w:val="single"/>
        </w:rPr>
        <w:t xml:space="preserve"> Parish Council</w:t>
      </w:r>
    </w:p>
    <w:p w14:paraId="60E3619E" w14:textId="02933893" w:rsidR="0096418F" w:rsidRDefault="005B06D9" w:rsidP="0049265F">
      <w:pPr>
        <w:jc w:val="center"/>
        <w:rPr>
          <w:b/>
          <w:bCs/>
          <w:sz w:val="24"/>
          <w:szCs w:val="24"/>
          <w:u w:val="single"/>
        </w:rPr>
      </w:pPr>
      <w:r w:rsidRPr="009218D6">
        <w:rPr>
          <w:b/>
          <w:bCs/>
          <w:sz w:val="24"/>
          <w:szCs w:val="24"/>
          <w:u w:val="single"/>
        </w:rPr>
        <w:t xml:space="preserve"> </w:t>
      </w:r>
      <w:r>
        <w:rPr>
          <w:b/>
          <w:bCs/>
          <w:sz w:val="24"/>
          <w:szCs w:val="24"/>
          <w:u w:val="single"/>
        </w:rPr>
        <w:t xml:space="preserve">Budget </w:t>
      </w:r>
      <w:r w:rsidR="00AC03E7">
        <w:rPr>
          <w:b/>
          <w:bCs/>
          <w:sz w:val="24"/>
          <w:szCs w:val="24"/>
          <w:u w:val="single"/>
        </w:rPr>
        <w:t>Report</w:t>
      </w:r>
      <w:r>
        <w:rPr>
          <w:b/>
          <w:bCs/>
          <w:sz w:val="24"/>
          <w:szCs w:val="24"/>
          <w:u w:val="single"/>
        </w:rPr>
        <w:t xml:space="preserve"> 2024/2025 </w:t>
      </w:r>
    </w:p>
    <w:p w14:paraId="18054D43" w14:textId="77777777" w:rsidR="006D17D8" w:rsidRPr="0049265F" w:rsidRDefault="006D17D8" w:rsidP="0049265F">
      <w:pPr>
        <w:jc w:val="center"/>
        <w:rPr>
          <w:b/>
          <w:bCs/>
          <w:sz w:val="24"/>
          <w:szCs w:val="24"/>
          <w:u w:val="single"/>
        </w:rPr>
      </w:pPr>
    </w:p>
    <w:p w14:paraId="6509B257" w14:textId="33B93CDA" w:rsidR="00014FA1" w:rsidRDefault="00014FA1" w:rsidP="00014FA1">
      <w:pPr>
        <w:rPr>
          <w:sz w:val="24"/>
          <w:szCs w:val="24"/>
        </w:rPr>
      </w:pPr>
      <w:r w:rsidRPr="009218D6">
        <w:rPr>
          <w:sz w:val="24"/>
          <w:szCs w:val="24"/>
        </w:rPr>
        <w:t xml:space="preserve">The </w:t>
      </w:r>
      <w:r>
        <w:rPr>
          <w:sz w:val="24"/>
          <w:szCs w:val="24"/>
        </w:rPr>
        <w:t>Shotley</w:t>
      </w:r>
      <w:r w:rsidRPr="009218D6">
        <w:rPr>
          <w:sz w:val="24"/>
          <w:szCs w:val="24"/>
        </w:rPr>
        <w:t xml:space="preserve"> Parish Council’s financial position at the end of the </w:t>
      </w:r>
      <w:r>
        <w:rPr>
          <w:sz w:val="24"/>
          <w:szCs w:val="24"/>
        </w:rPr>
        <w:t>third</w:t>
      </w:r>
      <w:r w:rsidRPr="009218D6">
        <w:rPr>
          <w:sz w:val="24"/>
          <w:szCs w:val="24"/>
        </w:rPr>
        <w:t xml:space="preserve"> quarter demonstrates very adequate financial management</w:t>
      </w:r>
      <w:r w:rsidR="00BA6AE6">
        <w:rPr>
          <w:sz w:val="24"/>
          <w:szCs w:val="24"/>
        </w:rPr>
        <w:t>.</w:t>
      </w:r>
      <w:r>
        <w:rPr>
          <w:sz w:val="24"/>
          <w:szCs w:val="24"/>
        </w:rPr>
        <w:t xml:space="preserve"> </w:t>
      </w:r>
    </w:p>
    <w:p w14:paraId="1E1CEF4A" w14:textId="459A1A44" w:rsidR="00014FA1" w:rsidRDefault="00014FA1" w:rsidP="00014FA1">
      <w:pPr>
        <w:rPr>
          <w:sz w:val="24"/>
          <w:szCs w:val="24"/>
        </w:rPr>
      </w:pPr>
      <w:r>
        <w:rPr>
          <w:sz w:val="24"/>
          <w:szCs w:val="24"/>
        </w:rPr>
        <w:t>Although the Bank of England remains reticent about reducing interest rates, it does appear that the trend in rising costs has stabilised somewhat, particularly as these have risen significantly over the past eighteen months. It is, however, still advisable to overestimate costs rather than underestimate</w:t>
      </w:r>
      <w:r w:rsidR="00FC0BA1">
        <w:rPr>
          <w:sz w:val="24"/>
          <w:szCs w:val="24"/>
        </w:rPr>
        <w:t xml:space="preserve"> them</w:t>
      </w:r>
      <w:r>
        <w:rPr>
          <w:sz w:val="24"/>
          <w:szCs w:val="24"/>
        </w:rPr>
        <w:t xml:space="preserve">, particularly in cases where there are no fixed contractual agreements, or new quotes are likely to be sought for the first time (since 2020). </w:t>
      </w:r>
    </w:p>
    <w:p w14:paraId="5714B7F5" w14:textId="7F6E9C88" w:rsidR="00014FA1" w:rsidRDefault="00014FA1" w:rsidP="00014FA1">
      <w:pPr>
        <w:rPr>
          <w:sz w:val="24"/>
          <w:szCs w:val="24"/>
        </w:rPr>
      </w:pPr>
      <w:r>
        <w:rPr>
          <w:sz w:val="24"/>
          <w:szCs w:val="24"/>
        </w:rPr>
        <w:t>Suffolk County Council has already indicated that they will concentrate on Children</w:t>
      </w:r>
      <w:r w:rsidR="00FC0BA1">
        <w:rPr>
          <w:sz w:val="24"/>
          <w:szCs w:val="24"/>
        </w:rPr>
        <w:t>'s</w:t>
      </w:r>
      <w:r>
        <w:rPr>
          <w:sz w:val="24"/>
          <w:szCs w:val="24"/>
        </w:rPr>
        <w:t xml:space="preserve"> Services and Adult/Social Care in the next financial term. Although </w:t>
      </w:r>
      <w:r w:rsidR="00FC0BA1">
        <w:rPr>
          <w:sz w:val="24"/>
          <w:szCs w:val="24"/>
        </w:rPr>
        <w:t>BDC</w:t>
      </w:r>
      <w:r>
        <w:rPr>
          <w:sz w:val="24"/>
          <w:szCs w:val="24"/>
        </w:rPr>
        <w:t xml:space="preserve"> is not in the same position as some other struggling District Authorities, members should be mindful of the potential for future divestment of services, particularly if the option is no service at all. The cost of emptying bins is increasing by 25% and only remains affordable due to the high subsidy received from Central Government and </w:t>
      </w:r>
      <w:r w:rsidR="00DF6762">
        <w:rPr>
          <w:sz w:val="24"/>
          <w:szCs w:val="24"/>
        </w:rPr>
        <w:t>BDC.</w:t>
      </w:r>
    </w:p>
    <w:p w14:paraId="174D8FB7" w14:textId="1C5F6853" w:rsidR="00CA6497" w:rsidRPr="009F3615" w:rsidRDefault="00014FA1">
      <w:pPr>
        <w:rPr>
          <w:sz w:val="24"/>
          <w:szCs w:val="24"/>
        </w:rPr>
      </w:pPr>
      <w:r w:rsidRPr="009218D6">
        <w:rPr>
          <w:sz w:val="24"/>
          <w:szCs w:val="24"/>
        </w:rPr>
        <w:t xml:space="preserve">Ideally, our Council will be able to rely on the </w:t>
      </w:r>
      <w:r w:rsidR="00DF6762">
        <w:rPr>
          <w:sz w:val="24"/>
          <w:szCs w:val="24"/>
        </w:rPr>
        <w:t xml:space="preserve">small </w:t>
      </w:r>
      <w:r w:rsidRPr="009218D6">
        <w:rPr>
          <w:sz w:val="24"/>
          <w:szCs w:val="24"/>
        </w:rPr>
        <w:t xml:space="preserve">tax base increase to continue the current level of delivery without having to rely on </w:t>
      </w:r>
      <w:r>
        <w:rPr>
          <w:sz w:val="24"/>
          <w:szCs w:val="24"/>
        </w:rPr>
        <w:t>significant</w:t>
      </w:r>
      <w:r w:rsidRPr="009218D6">
        <w:rPr>
          <w:sz w:val="24"/>
          <w:szCs w:val="24"/>
        </w:rPr>
        <w:t xml:space="preserve"> precept increase, particularly as all other authorities are expected to increase theirs. </w:t>
      </w:r>
      <w:r>
        <w:rPr>
          <w:sz w:val="24"/>
          <w:szCs w:val="24"/>
        </w:rPr>
        <w:t xml:space="preserve">However, </w:t>
      </w:r>
      <w:r w:rsidR="00BF12CF">
        <w:rPr>
          <w:sz w:val="24"/>
          <w:szCs w:val="24"/>
        </w:rPr>
        <w:t xml:space="preserve">as the Ganges development progresses, </w:t>
      </w:r>
      <w:r w:rsidR="00F4570F">
        <w:rPr>
          <w:sz w:val="24"/>
          <w:szCs w:val="24"/>
        </w:rPr>
        <w:t xml:space="preserve">the </w:t>
      </w:r>
      <w:r w:rsidR="00BF12CF">
        <w:rPr>
          <w:sz w:val="24"/>
          <w:szCs w:val="24"/>
        </w:rPr>
        <w:t xml:space="preserve">Council </w:t>
      </w:r>
      <w:r w:rsidR="00F4570F">
        <w:rPr>
          <w:sz w:val="24"/>
          <w:szCs w:val="24"/>
        </w:rPr>
        <w:t>should note that there will</w:t>
      </w:r>
      <w:r w:rsidR="00B43DDA">
        <w:rPr>
          <w:sz w:val="24"/>
          <w:szCs w:val="24"/>
        </w:rPr>
        <w:t xml:space="preserve"> </w:t>
      </w:r>
      <w:r w:rsidR="00F4570F">
        <w:rPr>
          <w:sz w:val="24"/>
          <w:szCs w:val="24"/>
        </w:rPr>
        <w:t>in</w:t>
      </w:r>
      <w:r w:rsidR="0047534E">
        <w:rPr>
          <w:sz w:val="24"/>
          <w:szCs w:val="24"/>
        </w:rPr>
        <w:t>evita</w:t>
      </w:r>
      <w:r w:rsidR="00F4570F">
        <w:rPr>
          <w:sz w:val="24"/>
          <w:szCs w:val="24"/>
        </w:rPr>
        <w:t>bl</w:t>
      </w:r>
      <w:r w:rsidR="007F20A1">
        <w:rPr>
          <w:sz w:val="24"/>
          <w:szCs w:val="24"/>
        </w:rPr>
        <w:t>y</w:t>
      </w:r>
      <w:r w:rsidR="00F4570F">
        <w:rPr>
          <w:sz w:val="24"/>
          <w:szCs w:val="24"/>
        </w:rPr>
        <w:t xml:space="preserve"> </w:t>
      </w:r>
      <w:r w:rsidR="00B43DDA">
        <w:rPr>
          <w:sz w:val="24"/>
          <w:szCs w:val="24"/>
        </w:rPr>
        <w:t xml:space="preserve">be </w:t>
      </w:r>
      <w:r w:rsidR="0047534E">
        <w:rPr>
          <w:sz w:val="24"/>
          <w:szCs w:val="24"/>
        </w:rPr>
        <w:t xml:space="preserve">increased costs in the delivery of our services. This should, however, </w:t>
      </w:r>
      <w:r w:rsidR="007F20A1">
        <w:rPr>
          <w:sz w:val="24"/>
          <w:szCs w:val="24"/>
        </w:rPr>
        <w:t xml:space="preserve">be balanced by the resulting movement in the tax base, which should allow for more marked precept increases in years to come to meet those needs. </w:t>
      </w:r>
    </w:p>
    <w:p w14:paraId="3829E6CD" w14:textId="77777777" w:rsidR="00CA6497" w:rsidRPr="009218D6" w:rsidRDefault="00CA6497" w:rsidP="00CA6497">
      <w:pPr>
        <w:rPr>
          <w:sz w:val="24"/>
          <w:szCs w:val="24"/>
        </w:rPr>
      </w:pPr>
      <w:r w:rsidRPr="009218D6">
        <w:rPr>
          <w:sz w:val="24"/>
          <w:szCs w:val="24"/>
        </w:rPr>
        <w:t>The table below demonstrates the current financial position, up to the end of this financial year, based on projected (albeit prudent) figures for the last quarter:</w:t>
      </w:r>
    </w:p>
    <w:p w14:paraId="3A881BBE" w14:textId="46B5E449" w:rsidR="00CA6497" w:rsidRPr="009218D6" w:rsidRDefault="00CA6497" w:rsidP="004958C0">
      <w:pPr>
        <w:spacing w:after="0"/>
        <w:rPr>
          <w:b/>
          <w:bCs/>
          <w:sz w:val="24"/>
          <w:szCs w:val="24"/>
        </w:rPr>
      </w:pPr>
      <w:r w:rsidRPr="009218D6">
        <w:rPr>
          <w:b/>
          <w:bCs/>
          <w:sz w:val="24"/>
          <w:szCs w:val="24"/>
        </w:rPr>
        <w:t xml:space="preserve">Opening balance for </w:t>
      </w:r>
      <w:r w:rsidR="004958C0">
        <w:rPr>
          <w:b/>
          <w:bCs/>
          <w:sz w:val="24"/>
          <w:szCs w:val="24"/>
        </w:rPr>
        <w:t xml:space="preserve">the </w:t>
      </w:r>
      <w:r w:rsidRPr="009218D6">
        <w:rPr>
          <w:b/>
          <w:bCs/>
          <w:sz w:val="24"/>
          <w:szCs w:val="24"/>
        </w:rPr>
        <w:t>year 202</w:t>
      </w:r>
      <w:r>
        <w:rPr>
          <w:b/>
          <w:bCs/>
          <w:sz w:val="24"/>
          <w:szCs w:val="24"/>
        </w:rPr>
        <w:t>3</w:t>
      </w:r>
      <w:r w:rsidRPr="009218D6">
        <w:rPr>
          <w:b/>
          <w:bCs/>
          <w:sz w:val="24"/>
          <w:szCs w:val="24"/>
        </w:rPr>
        <w:t>/202</w:t>
      </w:r>
      <w:r>
        <w:rPr>
          <w:b/>
          <w:bCs/>
          <w:sz w:val="24"/>
          <w:szCs w:val="24"/>
        </w:rPr>
        <w:t>4</w:t>
      </w:r>
      <w:r w:rsidRPr="009218D6">
        <w:rPr>
          <w:b/>
          <w:bCs/>
          <w:sz w:val="24"/>
          <w:szCs w:val="24"/>
        </w:rPr>
        <w:tab/>
      </w:r>
      <w:r w:rsidRPr="009218D6">
        <w:rPr>
          <w:b/>
          <w:bCs/>
          <w:sz w:val="24"/>
          <w:szCs w:val="24"/>
        </w:rPr>
        <w:tab/>
      </w:r>
      <w:r w:rsidRPr="009218D6">
        <w:rPr>
          <w:b/>
          <w:bCs/>
          <w:sz w:val="24"/>
          <w:szCs w:val="24"/>
        </w:rPr>
        <w:tab/>
        <w:t>£</w:t>
      </w:r>
      <w:r w:rsidR="00AE10B5">
        <w:rPr>
          <w:b/>
          <w:bCs/>
          <w:sz w:val="24"/>
          <w:szCs w:val="24"/>
        </w:rPr>
        <w:t>190,125</w:t>
      </w:r>
      <w:r w:rsidR="009F3615">
        <w:rPr>
          <w:b/>
          <w:bCs/>
          <w:sz w:val="24"/>
          <w:szCs w:val="24"/>
        </w:rPr>
        <w:t>.00</w:t>
      </w:r>
    </w:p>
    <w:p w14:paraId="129D16A0" w14:textId="041D4AF2" w:rsidR="00CA6497" w:rsidRPr="009218D6" w:rsidRDefault="00CA6497" w:rsidP="004958C0">
      <w:pPr>
        <w:spacing w:after="0"/>
        <w:rPr>
          <w:sz w:val="24"/>
          <w:szCs w:val="24"/>
        </w:rPr>
      </w:pPr>
      <w:r w:rsidRPr="009218D6">
        <w:rPr>
          <w:sz w:val="24"/>
          <w:szCs w:val="24"/>
        </w:rPr>
        <w:t>Add receipts (to 3</w:t>
      </w:r>
      <w:r>
        <w:rPr>
          <w:sz w:val="24"/>
          <w:szCs w:val="24"/>
        </w:rPr>
        <w:t>1</w:t>
      </w:r>
      <w:r w:rsidRPr="009218D6">
        <w:rPr>
          <w:sz w:val="24"/>
          <w:szCs w:val="24"/>
        </w:rPr>
        <w:t>/</w:t>
      </w:r>
      <w:r>
        <w:rPr>
          <w:sz w:val="24"/>
          <w:szCs w:val="24"/>
        </w:rPr>
        <w:t>12</w:t>
      </w:r>
      <w:r w:rsidRPr="009218D6">
        <w:rPr>
          <w:sz w:val="24"/>
          <w:szCs w:val="24"/>
        </w:rPr>
        <w:t>/202</w:t>
      </w:r>
      <w:r>
        <w:rPr>
          <w:sz w:val="24"/>
          <w:szCs w:val="24"/>
        </w:rPr>
        <w:t>3</w:t>
      </w:r>
      <w:r w:rsidRPr="009218D6">
        <w:rPr>
          <w:sz w:val="24"/>
          <w:szCs w:val="24"/>
        </w:rPr>
        <w:t>)</w:t>
      </w:r>
      <w:r w:rsidRPr="009218D6">
        <w:rPr>
          <w:sz w:val="24"/>
          <w:szCs w:val="24"/>
        </w:rPr>
        <w:tab/>
      </w:r>
      <w:r w:rsidRPr="009218D6">
        <w:rPr>
          <w:sz w:val="24"/>
          <w:szCs w:val="24"/>
        </w:rPr>
        <w:tab/>
      </w:r>
      <w:r w:rsidRPr="009218D6">
        <w:rPr>
          <w:sz w:val="24"/>
          <w:szCs w:val="24"/>
        </w:rPr>
        <w:tab/>
      </w:r>
      <w:r w:rsidRPr="009218D6">
        <w:rPr>
          <w:sz w:val="24"/>
          <w:szCs w:val="24"/>
        </w:rPr>
        <w:tab/>
      </w:r>
      <w:r>
        <w:rPr>
          <w:sz w:val="24"/>
          <w:szCs w:val="24"/>
        </w:rPr>
        <w:tab/>
      </w:r>
      <w:r w:rsidRPr="009218D6">
        <w:rPr>
          <w:sz w:val="24"/>
          <w:szCs w:val="24"/>
        </w:rPr>
        <w:t>£</w:t>
      </w:r>
      <w:r w:rsidR="00F904B9">
        <w:rPr>
          <w:sz w:val="24"/>
          <w:szCs w:val="24"/>
        </w:rPr>
        <w:t>72,103</w:t>
      </w:r>
      <w:r w:rsidR="007B3B65">
        <w:rPr>
          <w:sz w:val="24"/>
          <w:szCs w:val="24"/>
        </w:rPr>
        <w:t>.00</w:t>
      </w:r>
    </w:p>
    <w:p w14:paraId="2F79C05B" w14:textId="17060137" w:rsidR="00CA6497" w:rsidRPr="009218D6" w:rsidRDefault="00CA6497" w:rsidP="004958C0">
      <w:pPr>
        <w:spacing w:after="0"/>
        <w:rPr>
          <w:sz w:val="24"/>
          <w:szCs w:val="24"/>
          <w:u w:val="single"/>
        </w:rPr>
      </w:pPr>
      <w:r w:rsidRPr="009218D6">
        <w:rPr>
          <w:sz w:val="24"/>
          <w:szCs w:val="24"/>
        </w:rPr>
        <w:t>Minus Payments (to 3</w:t>
      </w:r>
      <w:r w:rsidR="0080359B">
        <w:rPr>
          <w:sz w:val="24"/>
          <w:szCs w:val="24"/>
        </w:rPr>
        <w:t>1</w:t>
      </w:r>
      <w:r w:rsidRPr="009218D6">
        <w:rPr>
          <w:sz w:val="24"/>
          <w:szCs w:val="24"/>
        </w:rPr>
        <w:t>/</w:t>
      </w:r>
      <w:r w:rsidR="0080359B">
        <w:rPr>
          <w:sz w:val="24"/>
          <w:szCs w:val="24"/>
        </w:rPr>
        <w:t>12</w:t>
      </w:r>
      <w:r w:rsidRPr="009218D6">
        <w:rPr>
          <w:sz w:val="24"/>
          <w:szCs w:val="24"/>
        </w:rPr>
        <w:t>/202</w:t>
      </w:r>
      <w:r w:rsidR="0080359B">
        <w:rPr>
          <w:sz w:val="24"/>
          <w:szCs w:val="24"/>
        </w:rPr>
        <w:t>3</w:t>
      </w:r>
      <w:r w:rsidRPr="009218D6">
        <w:rPr>
          <w:sz w:val="24"/>
          <w:szCs w:val="24"/>
        </w:rPr>
        <w:t>)</w:t>
      </w:r>
      <w:r w:rsidRPr="009218D6">
        <w:rPr>
          <w:sz w:val="24"/>
          <w:szCs w:val="24"/>
        </w:rPr>
        <w:tab/>
      </w:r>
      <w:r w:rsidRPr="009218D6">
        <w:rPr>
          <w:sz w:val="24"/>
          <w:szCs w:val="24"/>
        </w:rPr>
        <w:tab/>
      </w:r>
      <w:r w:rsidRPr="009218D6">
        <w:rPr>
          <w:sz w:val="24"/>
          <w:szCs w:val="24"/>
        </w:rPr>
        <w:tab/>
      </w:r>
      <w:r>
        <w:rPr>
          <w:sz w:val="24"/>
          <w:szCs w:val="24"/>
        </w:rPr>
        <w:tab/>
      </w:r>
      <w:r w:rsidRPr="009218D6">
        <w:rPr>
          <w:sz w:val="24"/>
          <w:szCs w:val="24"/>
          <w:u w:val="single"/>
        </w:rPr>
        <w:t>-£</w:t>
      </w:r>
      <w:r w:rsidR="00953E2D">
        <w:rPr>
          <w:sz w:val="24"/>
          <w:szCs w:val="24"/>
          <w:u w:val="single"/>
        </w:rPr>
        <w:t>60,021</w:t>
      </w:r>
      <w:r w:rsidR="007B3B65">
        <w:rPr>
          <w:sz w:val="24"/>
          <w:szCs w:val="24"/>
          <w:u w:val="single"/>
        </w:rPr>
        <w:t>.00</w:t>
      </w:r>
    </w:p>
    <w:p w14:paraId="6CD540CB" w14:textId="28B01A7C" w:rsidR="00CA6497" w:rsidRPr="009218D6" w:rsidRDefault="00CA6497" w:rsidP="004958C0">
      <w:pPr>
        <w:spacing w:after="0"/>
        <w:rPr>
          <w:b/>
          <w:bCs/>
          <w:sz w:val="24"/>
          <w:szCs w:val="24"/>
        </w:rPr>
      </w:pPr>
      <w:r w:rsidRPr="009218D6">
        <w:rPr>
          <w:b/>
          <w:bCs/>
          <w:sz w:val="24"/>
          <w:szCs w:val="24"/>
        </w:rPr>
        <w:t>Balance (as at 3</w:t>
      </w:r>
      <w:r>
        <w:rPr>
          <w:b/>
          <w:bCs/>
          <w:sz w:val="24"/>
          <w:szCs w:val="24"/>
        </w:rPr>
        <w:t>1</w:t>
      </w:r>
      <w:r w:rsidRPr="009218D6">
        <w:rPr>
          <w:b/>
          <w:bCs/>
          <w:sz w:val="24"/>
          <w:szCs w:val="24"/>
        </w:rPr>
        <w:t>/</w:t>
      </w:r>
      <w:r>
        <w:rPr>
          <w:b/>
          <w:bCs/>
          <w:sz w:val="24"/>
          <w:szCs w:val="24"/>
        </w:rPr>
        <w:t>12</w:t>
      </w:r>
      <w:r w:rsidRPr="009218D6">
        <w:rPr>
          <w:b/>
          <w:bCs/>
          <w:sz w:val="24"/>
          <w:szCs w:val="24"/>
        </w:rPr>
        <w:t>/202</w:t>
      </w:r>
      <w:r>
        <w:rPr>
          <w:b/>
          <w:bCs/>
          <w:sz w:val="24"/>
          <w:szCs w:val="24"/>
        </w:rPr>
        <w:t>3</w:t>
      </w:r>
      <w:r w:rsidRPr="009218D6">
        <w:rPr>
          <w:b/>
          <w:bCs/>
          <w:sz w:val="24"/>
          <w:szCs w:val="24"/>
        </w:rPr>
        <w:t>)</w:t>
      </w:r>
      <w:r w:rsidRPr="009218D6">
        <w:rPr>
          <w:b/>
          <w:bCs/>
          <w:sz w:val="24"/>
          <w:szCs w:val="24"/>
        </w:rPr>
        <w:tab/>
      </w:r>
      <w:r w:rsidRPr="009218D6">
        <w:rPr>
          <w:b/>
          <w:bCs/>
          <w:sz w:val="24"/>
          <w:szCs w:val="24"/>
        </w:rPr>
        <w:tab/>
      </w:r>
      <w:r w:rsidRPr="009218D6">
        <w:rPr>
          <w:b/>
          <w:bCs/>
          <w:sz w:val="24"/>
          <w:szCs w:val="24"/>
        </w:rPr>
        <w:tab/>
      </w:r>
      <w:r w:rsidRPr="009218D6">
        <w:rPr>
          <w:b/>
          <w:bCs/>
          <w:sz w:val="24"/>
          <w:szCs w:val="24"/>
        </w:rPr>
        <w:tab/>
      </w:r>
      <w:r>
        <w:rPr>
          <w:b/>
          <w:bCs/>
          <w:sz w:val="24"/>
          <w:szCs w:val="24"/>
        </w:rPr>
        <w:tab/>
      </w:r>
      <w:r w:rsidRPr="009218D6">
        <w:rPr>
          <w:b/>
          <w:bCs/>
          <w:sz w:val="24"/>
          <w:szCs w:val="24"/>
        </w:rPr>
        <w:t>£</w:t>
      </w:r>
      <w:r w:rsidR="00953E2D">
        <w:rPr>
          <w:b/>
          <w:bCs/>
          <w:sz w:val="24"/>
          <w:szCs w:val="24"/>
        </w:rPr>
        <w:t>202,207</w:t>
      </w:r>
      <w:r w:rsidR="007B3B65">
        <w:rPr>
          <w:b/>
          <w:bCs/>
          <w:sz w:val="24"/>
          <w:szCs w:val="24"/>
        </w:rPr>
        <w:t>.00</w:t>
      </w:r>
    </w:p>
    <w:p w14:paraId="4C238E80" w14:textId="77777777" w:rsidR="00CA6497" w:rsidRPr="009218D6" w:rsidRDefault="00CA6497" w:rsidP="004958C0">
      <w:pPr>
        <w:spacing w:after="0"/>
        <w:rPr>
          <w:sz w:val="24"/>
          <w:szCs w:val="24"/>
        </w:rPr>
      </w:pPr>
    </w:p>
    <w:p w14:paraId="0B1EADED" w14:textId="05EA3975" w:rsidR="00CA6497" w:rsidRPr="00C26C12" w:rsidRDefault="00CA6497" w:rsidP="004958C0">
      <w:pPr>
        <w:spacing w:after="0"/>
        <w:rPr>
          <w:b/>
          <w:bCs/>
          <w:sz w:val="24"/>
          <w:szCs w:val="24"/>
        </w:rPr>
      </w:pPr>
      <w:r w:rsidRPr="00C26C12">
        <w:rPr>
          <w:b/>
          <w:bCs/>
          <w:sz w:val="24"/>
          <w:szCs w:val="24"/>
        </w:rPr>
        <w:t>Projected Income to 31/03/2024</w:t>
      </w:r>
      <w:r w:rsidRPr="00C26C12">
        <w:rPr>
          <w:b/>
          <w:bCs/>
          <w:sz w:val="24"/>
          <w:szCs w:val="24"/>
        </w:rPr>
        <w:tab/>
      </w:r>
      <w:r w:rsidRPr="00C26C12">
        <w:rPr>
          <w:b/>
          <w:bCs/>
          <w:sz w:val="24"/>
          <w:szCs w:val="24"/>
        </w:rPr>
        <w:tab/>
      </w:r>
      <w:r w:rsidRPr="00C26C12">
        <w:rPr>
          <w:b/>
          <w:bCs/>
          <w:sz w:val="24"/>
          <w:szCs w:val="24"/>
        </w:rPr>
        <w:tab/>
      </w:r>
      <w:r w:rsidRPr="00C26C12">
        <w:rPr>
          <w:b/>
          <w:bCs/>
          <w:sz w:val="24"/>
          <w:szCs w:val="24"/>
        </w:rPr>
        <w:tab/>
        <w:t xml:space="preserve"> £</w:t>
      </w:r>
      <w:r w:rsidR="009D426A">
        <w:rPr>
          <w:b/>
          <w:bCs/>
          <w:sz w:val="24"/>
          <w:szCs w:val="24"/>
        </w:rPr>
        <w:t>7,308.00</w:t>
      </w:r>
    </w:p>
    <w:p w14:paraId="0717917B" w14:textId="7EB53BCA" w:rsidR="00CA6497" w:rsidRDefault="00CA6497" w:rsidP="004958C0">
      <w:pPr>
        <w:spacing w:after="0"/>
        <w:rPr>
          <w:sz w:val="24"/>
          <w:szCs w:val="24"/>
        </w:rPr>
      </w:pPr>
      <w:r>
        <w:rPr>
          <w:sz w:val="24"/>
          <w:szCs w:val="24"/>
        </w:rPr>
        <w:t xml:space="preserve">Allotments </w:t>
      </w:r>
      <w:r w:rsidR="003F1A4D">
        <w:rPr>
          <w:sz w:val="24"/>
          <w:szCs w:val="24"/>
        </w:rPr>
        <w:tab/>
      </w:r>
      <w:r w:rsidR="003F1A4D">
        <w:rPr>
          <w:sz w:val="24"/>
          <w:szCs w:val="24"/>
        </w:rPr>
        <w:tab/>
      </w:r>
      <w:r>
        <w:rPr>
          <w:sz w:val="24"/>
          <w:szCs w:val="24"/>
        </w:rPr>
        <w:tab/>
      </w:r>
      <w:r>
        <w:rPr>
          <w:sz w:val="24"/>
          <w:szCs w:val="24"/>
        </w:rPr>
        <w:tab/>
        <w:t>£</w:t>
      </w:r>
      <w:r w:rsidR="003F1A4D">
        <w:rPr>
          <w:sz w:val="24"/>
          <w:szCs w:val="24"/>
        </w:rPr>
        <w:t>300.00</w:t>
      </w:r>
    </w:p>
    <w:p w14:paraId="2E34CC17" w14:textId="5D8BA8AC" w:rsidR="00CA6497" w:rsidRPr="009218D6" w:rsidRDefault="00CA6497" w:rsidP="004958C0">
      <w:pPr>
        <w:spacing w:after="0"/>
        <w:rPr>
          <w:sz w:val="24"/>
          <w:szCs w:val="24"/>
        </w:rPr>
      </w:pPr>
      <w:r>
        <w:rPr>
          <w:sz w:val="24"/>
          <w:szCs w:val="24"/>
        </w:rPr>
        <w:t>VAT refund owed</w:t>
      </w:r>
      <w:r>
        <w:rPr>
          <w:sz w:val="24"/>
          <w:szCs w:val="24"/>
        </w:rPr>
        <w:tab/>
      </w:r>
      <w:r>
        <w:rPr>
          <w:sz w:val="24"/>
          <w:szCs w:val="24"/>
        </w:rPr>
        <w:tab/>
      </w:r>
      <w:r>
        <w:rPr>
          <w:sz w:val="24"/>
          <w:szCs w:val="24"/>
        </w:rPr>
        <w:tab/>
        <w:t>£</w:t>
      </w:r>
      <w:r w:rsidR="007B3B65">
        <w:rPr>
          <w:sz w:val="24"/>
          <w:szCs w:val="24"/>
        </w:rPr>
        <w:t>7,008.00</w:t>
      </w:r>
    </w:p>
    <w:p w14:paraId="3A864EDF" w14:textId="77777777" w:rsidR="00CA6497" w:rsidRPr="009218D6" w:rsidRDefault="00CA6497" w:rsidP="004958C0">
      <w:pPr>
        <w:spacing w:after="0"/>
        <w:rPr>
          <w:b/>
          <w:bCs/>
          <w:sz w:val="24"/>
          <w:szCs w:val="24"/>
        </w:rPr>
      </w:pPr>
    </w:p>
    <w:p w14:paraId="4D8C838C" w14:textId="2B1A27FA" w:rsidR="00CA6497" w:rsidRPr="00C26C12" w:rsidRDefault="00CA6497" w:rsidP="004958C0">
      <w:pPr>
        <w:spacing w:after="0"/>
        <w:rPr>
          <w:b/>
          <w:bCs/>
          <w:sz w:val="24"/>
          <w:szCs w:val="24"/>
        </w:rPr>
      </w:pPr>
      <w:r w:rsidRPr="00C26C12">
        <w:rPr>
          <w:b/>
          <w:bCs/>
          <w:sz w:val="24"/>
          <w:szCs w:val="24"/>
        </w:rPr>
        <w:t>Projected Payments to 31/03/2024</w:t>
      </w:r>
      <w:r w:rsidRPr="00C26C12">
        <w:rPr>
          <w:b/>
          <w:bCs/>
          <w:sz w:val="24"/>
          <w:szCs w:val="24"/>
        </w:rPr>
        <w:tab/>
      </w:r>
      <w:r w:rsidRPr="00C26C12">
        <w:rPr>
          <w:b/>
          <w:bCs/>
          <w:sz w:val="24"/>
          <w:szCs w:val="24"/>
        </w:rPr>
        <w:tab/>
      </w:r>
      <w:r w:rsidRPr="00C26C12">
        <w:rPr>
          <w:b/>
          <w:bCs/>
          <w:sz w:val="24"/>
          <w:szCs w:val="24"/>
        </w:rPr>
        <w:tab/>
      </w:r>
      <w:r w:rsidRPr="00C26C12">
        <w:rPr>
          <w:b/>
          <w:bCs/>
          <w:sz w:val="24"/>
          <w:szCs w:val="24"/>
        </w:rPr>
        <w:tab/>
        <w:t>-£</w:t>
      </w:r>
      <w:r w:rsidR="003F7BFF">
        <w:rPr>
          <w:b/>
          <w:bCs/>
          <w:sz w:val="24"/>
          <w:szCs w:val="24"/>
        </w:rPr>
        <w:t>16,682.00</w:t>
      </w:r>
    </w:p>
    <w:p w14:paraId="229F7717" w14:textId="4D7AA954" w:rsidR="00CA6497" w:rsidRDefault="00CA6497" w:rsidP="00624448">
      <w:pPr>
        <w:spacing w:after="0"/>
        <w:rPr>
          <w:sz w:val="24"/>
          <w:szCs w:val="24"/>
        </w:rPr>
      </w:pPr>
      <w:r>
        <w:rPr>
          <w:sz w:val="24"/>
          <w:szCs w:val="24"/>
        </w:rPr>
        <w:t>Salaries and HMRC</w:t>
      </w:r>
      <w:r>
        <w:rPr>
          <w:sz w:val="24"/>
          <w:szCs w:val="24"/>
        </w:rPr>
        <w:tab/>
      </w:r>
      <w:r>
        <w:rPr>
          <w:sz w:val="24"/>
          <w:szCs w:val="24"/>
        </w:rPr>
        <w:tab/>
      </w:r>
      <w:r>
        <w:rPr>
          <w:sz w:val="24"/>
          <w:szCs w:val="24"/>
        </w:rPr>
        <w:tab/>
        <w:t>£</w:t>
      </w:r>
      <w:r w:rsidR="005D20FE">
        <w:rPr>
          <w:sz w:val="24"/>
          <w:szCs w:val="24"/>
        </w:rPr>
        <w:t>7,365.00</w:t>
      </w:r>
    </w:p>
    <w:p w14:paraId="5AA8700A" w14:textId="03440834" w:rsidR="00CA6497" w:rsidRDefault="00CA6497" w:rsidP="00624448">
      <w:pPr>
        <w:spacing w:after="0"/>
        <w:rPr>
          <w:sz w:val="24"/>
          <w:szCs w:val="24"/>
        </w:rPr>
      </w:pPr>
      <w:r>
        <w:rPr>
          <w:sz w:val="24"/>
          <w:szCs w:val="24"/>
        </w:rPr>
        <w:t>Expenses, Comms</w:t>
      </w:r>
      <w:r>
        <w:rPr>
          <w:sz w:val="24"/>
          <w:szCs w:val="24"/>
        </w:rPr>
        <w:tab/>
      </w:r>
      <w:r>
        <w:rPr>
          <w:sz w:val="24"/>
          <w:szCs w:val="24"/>
        </w:rPr>
        <w:tab/>
      </w:r>
      <w:r>
        <w:rPr>
          <w:sz w:val="24"/>
          <w:szCs w:val="24"/>
        </w:rPr>
        <w:tab/>
        <w:t>£</w:t>
      </w:r>
      <w:r w:rsidR="00831CCB">
        <w:rPr>
          <w:sz w:val="24"/>
          <w:szCs w:val="24"/>
        </w:rPr>
        <w:t>500.00</w:t>
      </w:r>
    </w:p>
    <w:p w14:paraId="0ADF22CD" w14:textId="499178B6" w:rsidR="00CA6497" w:rsidRDefault="00831CCB" w:rsidP="00624448">
      <w:pPr>
        <w:spacing w:after="0"/>
        <w:rPr>
          <w:sz w:val="24"/>
          <w:szCs w:val="24"/>
        </w:rPr>
      </w:pPr>
      <w:r>
        <w:rPr>
          <w:sz w:val="24"/>
          <w:szCs w:val="24"/>
        </w:rPr>
        <w:t>Warden</w:t>
      </w:r>
      <w:r w:rsidR="00CA6497">
        <w:rPr>
          <w:sz w:val="24"/>
          <w:szCs w:val="24"/>
        </w:rPr>
        <w:tab/>
      </w:r>
      <w:r w:rsidR="00CA6497">
        <w:rPr>
          <w:sz w:val="24"/>
          <w:szCs w:val="24"/>
        </w:rPr>
        <w:tab/>
      </w:r>
      <w:r w:rsidR="00CA6497">
        <w:rPr>
          <w:sz w:val="24"/>
          <w:szCs w:val="24"/>
        </w:rPr>
        <w:tab/>
      </w:r>
      <w:r w:rsidR="00CA6497">
        <w:rPr>
          <w:sz w:val="24"/>
          <w:szCs w:val="24"/>
        </w:rPr>
        <w:tab/>
        <w:t>£</w:t>
      </w:r>
      <w:r w:rsidR="008C1398">
        <w:rPr>
          <w:sz w:val="24"/>
          <w:szCs w:val="24"/>
        </w:rPr>
        <w:t>1,907.00</w:t>
      </w:r>
    </w:p>
    <w:p w14:paraId="2D46CCEB" w14:textId="18ADAF8F" w:rsidR="00CA6497" w:rsidRDefault="00CA6497" w:rsidP="00624448">
      <w:pPr>
        <w:spacing w:after="0"/>
        <w:rPr>
          <w:sz w:val="24"/>
          <w:szCs w:val="24"/>
        </w:rPr>
      </w:pPr>
      <w:r>
        <w:rPr>
          <w:sz w:val="24"/>
          <w:szCs w:val="24"/>
        </w:rPr>
        <w:lastRenderedPageBreak/>
        <w:t>Warden</w:t>
      </w:r>
      <w:r w:rsidR="008C1398">
        <w:rPr>
          <w:sz w:val="24"/>
          <w:szCs w:val="24"/>
        </w:rPr>
        <w:t xml:space="preserve"> (WC’s)</w:t>
      </w:r>
      <w:r>
        <w:rPr>
          <w:sz w:val="24"/>
          <w:szCs w:val="24"/>
        </w:rPr>
        <w:tab/>
      </w:r>
      <w:r>
        <w:rPr>
          <w:sz w:val="24"/>
          <w:szCs w:val="24"/>
        </w:rPr>
        <w:tab/>
      </w:r>
      <w:r>
        <w:rPr>
          <w:sz w:val="24"/>
          <w:szCs w:val="24"/>
        </w:rPr>
        <w:tab/>
        <w:t>£</w:t>
      </w:r>
      <w:r w:rsidR="009100BC">
        <w:rPr>
          <w:sz w:val="24"/>
          <w:szCs w:val="24"/>
        </w:rPr>
        <w:t>1,170.00</w:t>
      </w:r>
    </w:p>
    <w:p w14:paraId="103020ED" w14:textId="4327A359" w:rsidR="00CA6497" w:rsidRDefault="00CA6497" w:rsidP="00624448">
      <w:pPr>
        <w:spacing w:after="0"/>
        <w:rPr>
          <w:sz w:val="24"/>
          <w:szCs w:val="24"/>
        </w:rPr>
      </w:pPr>
      <w:r>
        <w:rPr>
          <w:sz w:val="24"/>
          <w:szCs w:val="24"/>
        </w:rPr>
        <w:t>Website</w:t>
      </w:r>
      <w:r>
        <w:rPr>
          <w:sz w:val="24"/>
          <w:szCs w:val="24"/>
        </w:rPr>
        <w:tab/>
      </w:r>
      <w:r>
        <w:rPr>
          <w:sz w:val="24"/>
          <w:szCs w:val="24"/>
        </w:rPr>
        <w:tab/>
      </w:r>
      <w:r>
        <w:rPr>
          <w:sz w:val="24"/>
          <w:szCs w:val="24"/>
        </w:rPr>
        <w:tab/>
      </w:r>
      <w:r>
        <w:rPr>
          <w:sz w:val="24"/>
          <w:szCs w:val="24"/>
        </w:rPr>
        <w:tab/>
        <w:t>£</w:t>
      </w:r>
      <w:r w:rsidR="009100BC">
        <w:rPr>
          <w:sz w:val="24"/>
          <w:szCs w:val="24"/>
        </w:rPr>
        <w:t>360.00</w:t>
      </w:r>
    </w:p>
    <w:p w14:paraId="216BD780" w14:textId="0D4039D6" w:rsidR="00CA6497" w:rsidRDefault="00FD6D92" w:rsidP="00624448">
      <w:pPr>
        <w:spacing w:after="0"/>
        <w:rPr>
          <w:sz w:val="24"/>
          <w:szCs w:val="24"/>
        </w:rPr>
      </w:pPr>
      <w:r>
        <w:rPr>
          <w:sz w:val="24"/>
          <w:szCs w:val="24"/>
        </w:rPr>
        <w:t>WC’s (energy and water)</w:t>
      </w:r>
      <w:r w:rsidR="00CA6497">
        <w:rPr>
          <w:sz w:val="24"/>
          <w:szCs w:val="24"/>
        </w:rPr>
        <w:tab/>
      </w:r>
      <w:r w:rsidR="00CA6497">
        <w:rPr>
          <w:sz w:val="24"/>
          <w:szCs w:val="24"/>
        </w:rPr>
        <w:tab/>
        <w:t>£</w:t>
      </w:r>
      <w:r w:rsidR="0012149A">
        <w:rPr>
          <w:sz w:val="24"/>
          <w:szCs w:val="24"/>
        </w:rPr>
        <w:t>4</w:t>
      </w:r>
      <w:r>
        <w:rPr>
          <w:sz w:val="24"/>
          <w:szCs w:val="24"/>
        </w:rPr>
        <w:t>50.00</w:t>
      </w:r>
    </w:p>
    <w:p w14:paraId="41371434" w14:textId="1AB5D24B" w:rsidR="00CA6497" w:rsidRDefault="00FD6D92" w:rsidP="00624448">
      <w:pPr>
        <w:spacing w:after="0"/>
        <w:rPr>
          <w:sz w:val="24"/>
          <w:szCs w:val="24"/>
        </w:rPr>
      </w:pPr>
      <w:r>
        <w:rPr>
          <w:sz w:val="24"/>
          <w:szCs w:val="24"/>
        </w:rPr>
        <w:t>Verge maintenance</w:t>
      </w:r>
      <w:r w:rsidR="00A029B4">
        <w:rPr>
          <w:sz w:val="24"/>
          <w:szCs w:val="24"/>
        </w:rPr>
        <w:tab/>
      </w:r>
      <w:r w:rsidR="00CA6497">
        <w:rPr>
          <w:sz w:val="24"/>
          <w:szCs w:val="24"/>
        </w:rPr>
        <w:tab/>
      </w:r>
      <w:r w:rsidR="00CA6497">
        <w:rPr>
          <w:sz w:val="24"/>
          <w:szCs w:val="24"/>
        </w:rPr>
        <w:tab/>
        <w:t>£</w:t>
      </w:r>
      <w:r w:rsidR="00A029B4">
        <w:rPr>
          <w:sz w:val="24"/>
          <w:szCs w:val="24"/>
        </w:rPr>
        <w:t>650.00</w:t>
      </w:r>
    </w:p>
    <w:p w14:paraId="790EEC66" w14:textId="2C9C1239" w:rsidR="00CA6497" w:rsidRDefault="0012149A" w:rsidP="00624448">
      <w:pPr>
        <w:spacing w:after="0"/>
        <w:rPr>
          <w:sz w:val="24"/>
          <w:szCs w:val="24"/>
        </w:rPr>
      </w:pPr>
      <w:r>
        <w:rPr>
          <w:sz w:val="24"/>
          <w:szCs w:val="24"/>
        </w:rPr>
        <w:t>SPS CIC</w:t>
      </w:r>
      <w:r w:rsidR="006C6EC5">
        <w:rPr>
          <w:sz w:val="24"/>
          <w:szCs w:val="24"/>
        </w:rPr>
        <w:tab/>
        <w:t>- storm damage</w:t>
      </w:r>
      <w:r w:rsidR="00CA6497">
        <w:rPr>
          <w:sz w:val="24"/>
          <w:szCs w:val="24"/>
        </w:rPr>
        <w:tab/>
      </w:r>
      <w:r w:rsidR="00CA6497">
        <w:rPr>
          <w:sz w:val="24"/>
          <w:szCs w:val="24"/>
        </w:rPr>
        <w:tab/>
        <w:t>£</w:t>
      </w:r>
      <w:r w:rsidR="006C6EC5">
        <w:rPr>
          <w:sz w:val="24"/>
          <w:szCs w:val="24"/>
        </w:rPr>
        <w:t>750.00</w:t>
      </w:r>
    </w:p>
    <w:p w14:paraId="4C8FF945" w14:textId="38B8E62D" w:rsidR="00CA6497" w:rsidRDefault="00195AC8" w:rsidP="00624448">
      <w:pPr>
        <w:spacing w:after="0"/>
        <w:rPr>
          <w:sz w:val="24"/>
          <w:szCs w:val="24"/>
        </w:rPr>
      </w:pPr>
      <w:proofErr w:type="spellStart"/>
      <w:r>
        <w:rPr>
          <w:sz w:val="24"/>
          <w:szCs w:val="24"/>
        </w:rPr>
        <w:t>Playareas</w:t>
      </w:r>
      <w:proofErr w:type="spellEnd"/>
      <w:r>
        <w:rPr>
          <w:sz w:val="24"/>
          <w:szCs w:val="24"/>
        </w:rPr>
        <w:t xml:space="preserve"> project</w:t>
      </w:r>
      <w:r w:rsidR="00CA6497">
        <w:rPr>
          <w:sz w:val="24"/>
          <w:szCs w:val="24"/>
        </w:rPr>
        <w:tab/>
      </w:r>
      <w:r w:rsidR="00CA6497">
        <w:rPr>
          <w:sz w:val="24"/>
          <w:szCs w:val="24"/>
        </w:rPr>
        <w:tab/>
      </w:r>
      <w:r w:rsidR="00CA6497">
        <w:rPr>
          <w:sz w:val="24"/>
          <w:szCs w:val="24"/>
        </w:rPr>
        <w:tab/>
      </w:r>
      <w:r>
        <w:rPr>
          <w:sz w:val="24"/>
          <w:szCs w:val="24"/>
        </w:rPr>
        <w:t>£350.00</w:t>
      </w:r>
    </w:p>
    <w:p w14:paraId="4A5A9B6A" w14:textId="765EE743" w:rsidR="00CA6497" w:rsidRDefault="0072274B" w:rsidP="00624448">
      <w:pPr>
        <w:spacing w:after="0"/>
        <w:rPr>
          <w:sz w:val="24"/>
          <w:szCs w:val="24"/>
        </w:rPr>
      </w:pPr>
      <w:proofErr w:type="gramStart"/>
      <w:r>
        <w:rPr>
          <w:sz w:val="24"/>
          <w:szCs w:val="24"/>
        </w:rPr>
        <w:t>SLCC  subscription</w:t>
      </w:r>
      <w:proofErr w:type="gramEnd"/>
      <w:r w:rsidR="00CA6497">
        <w:rPr>
          <w:sz w:val="24"/>
          <w:szCs w:val="24"/>
        </w:rPr>
        <w:tab/>
      </w:r>
      <w:r w:rsidR="00CA6497">
        <w:rPr>
          <w:sz w:val="24"/>
          <w:szCs w:val="24"/>
        </w:rPr>
        <w:tab/>
      </w:r>
      <w:r w:rsidR="00CA6497">
        <w:rPr>
          <w:sz w:val="24"/>
          <w:szCs w:val="24"/>
        </w:rPr>
        <w:tab/>
        <w:t>£</w:t>
      </w:r>
      <w:r w:rsidR="00F514E7">
        <w:rPr>
          <w:sz w:val="24"/>
          <w:szCs w:val="24"/>
        </w:rPr>
        <w:t>380.00</w:t>
      </w:r>
    </w:p>
    <w:p w14:paraId="11091910" w14:textId="28E2EB03" w:rsidR="00CA6497" w:rsidRDefault="00F514E7" w:rsidP="00624448">
      <w:pPr>
        <w:spacing w:after="0"/>
        <w:rPr>
          <w:sz w:val="24"/>
          <w:szCs w:val="24"/>
        </w:rPr>
      </w:pPr>
      <w:r>
        <w:rPr>
          <w:sz w:val="24"/>
          <w:szCs w:val="24"/>
        </w:rPr>
        <w:t>Library Funding</w:t>
      </w:r>
      <w:r w:rsidR="00CA6497">
        <w:rPr>
          <w:sz w:val="24"/>
          <w:szCs w:val="24"/>
        </w:rPr>
        <w:tab/>
      </w:r>
      <w:r w:rsidR="00CA6497">
        <w:rPr>
          <w:sz w:val="24"/>
          <w:szCs w:val="24"/>
        </w:rPr>
        <w:tab/>
      </w:r>
      <w:r w:rsidR="00CA6497">
        <w:rPr>
          <w:sz w:val="24"/>
          <w:szCs w:val="24"/>
        </w:rPr>
        <w:tab/>
        <w:t>£</w:t>
      </w:r>
      <w:r>
        <w:rPr>
          <w:sz w:val="24"/>
          <w:szCs w:val="24"/>
        </w:rPr>
        <w:t>2,000.00</w:t>
      </w:r>
    </w:p>
    <w:p w14:paraId="25132F57" w14:textId="6EB074EF" w:rsidR="00CA6497" w:rsidRDefault="00F514E7" w:rsidP="00624448">
      <w:pPr>
        <w:spacing w:after="0"/>
        <w:rPr>
          <w:sz w:val="24"/>
          <w:szCs w:val="24"/>
        </w:rPr>
      </w:pPr>
      <w:r>
        <w:rPr>
          <w:sz w:val="24"/>
          <w:szCs w:val="24"/>
        </w:rPr>
        <w:t>Village Hall hire</w:t>
      </w:r>
      <w:r w:rsidR="00CA6497">
        <w:rPr>
          <w:sz w:val="24"/>
          <w:szCs w:val="24"/>
        </w:rPr>
        <w:tab/>
      </w:r>
      <w:r w:rsidR="00CA6497">
        <w:rPr>
          <w:sz w:val="24"/>
          <w:szCs w:val="24"/>
        </w:rPr>
        <w:tab/>
      </w:r>
      <w:r w:rsidR="00CA6497">
        <w:rPr>
          <w:sz w:val="24"/>
          <w:szCs w:val="24"/>
        </w:rPr>
        <w:tab/>
        <w:t>£</w:t>
      </w:r>
      <w:r>
        <w:rPr>
          <w:sz w:val="24"/>
          <w:szCs w:val="24"/>
        </w:rPr>
        <w:t>800.00</w:t>
      </w:r>
    </w:p>
    <w:p w14:paraId="074C2781" w14:textId="77777777" w:rsidR="00133B51" w:rsidRPr="009218D6" w:rsidRDefault="00133B51" w:rsidP="004958C0">
      <w:pPr>
        <w:spacing w:after="0"/>
        <w:rPr>
          <w:sz w:val="24"/>
          <w:szCs w:val="24"/>
        </w:rPr>
      </w:pPr>
    </w:p>
    <w:p w14:paraId="2F7D7428" w14:textId="0BA1EC37" w:rsidR="00CA6497" w:rsidRDefault="00CA6497" w:rsidP="00133B51">
      <w:pPr>
        <w:spacing w:after="0"/>
        <w:rPr>
          <w:b/>
          <w:bCs/>
          <w:sz w:val="24"/>
          <w:szCs w:val="24"/>
        </w:rPr>
      </w:pPr>
      <w:r w:rsidRPr="009218D6">
        <w:rPr>
          <w:b/>
          <w:bCs/>
          <w:sz w:val="24"/>
          <w:szCs w:val="24"/>
        </w:rPr>
        <w:t xml:space="preserve">Projected Balance (as </w:t>
      </w:r>
      <w:r w:rsidR="00816612">
        <w:rPr>
          <w:b/>
          <w:bCs/>
          <w:sz w:val="24"/>
          <w:szCs w:val="24"/>
        </w:rPr>
        <w:t>of</w:t>
      </w:r>
      <w:r w:rsidRPr="009218D6">
        <w:rPr>
          <w:b/>
          <w:bCs/>
          <w:sz w:val="24"/>
          <w:szCs w:val="24"/>
        </w:rPr>
        <w:t xml:space="preserve"> 31/03/202</w:t>
      </w:r>
      <w:r>
        <w:rPr>
          <w:b/>
          <w:bCs/>
          <w:sz w:val="24"/>
          <w:szCs w:val="24"/>
        </w:rPr>
        <w:t>4</w:t>
      </w:r>
      <w:r w:rsidRPr="009218D6">
        <w:rPr>
          <w:b/>
          <w:bCs/>
          <w:sz w:val="24"/>
          <w:szCs w:val="24"/>
        </w:rPr>
        <w:t>)</w:t>
      </w:r>
      <w:r w:rsidRPr="009218D6">
        <w:rPr>
          <w:b/>
          <w:bCs/>
          <w:sz w:val="24"/>
          <w:szCs w:val="24"/>
        </w:rPr>
        <w:tab/>
      </w:r>
      <w:r w:rsidRPr="009218D6">
        <w:rPr>
          <w:b/>
          <w:bCs/>
          <w:sz w:val="24"/>
          <w:szCs w:val="24"/>
        </w:rPr>
        <w:tab/>
      </w:r>
      <w:r>
        <w:rPr>
          <w:b/>
          <w:bCs/>
          <w:sz w:val="24"/>
          <w:szCs w:val="24"/>
        </w:rPr>
        <w:tab/>
      </w:r>
      <w:r w:rsidRPr="009218D6">
        <w:rPr>
          <w:b/>
          <w:bCs/>
          <w:sz w:val="24"/>
          <w:szCs w:val="24"/>
        </w:rPr>
        <w:t>£</w:t>
      </w:r>
      <w:r w:rsidR="00771FD3">
        <w:rPr>
          <w:b/>
          <w:bCs/>
          <w:sz w:val="24"/>
          <w:szCs w:val="24"/>
        </w:rPr>
        <w:t>192,833.00</w:t>
      </w:r>
    </w:p>
    <w:p w14:paraId="58CA8E68" w14:textId="77777777" w:rsidR="00133B51" w:rsidRPr="00133B51" w:rsidRDefault="00133B51" w:rsidP="00133B51">
      <w:pPr>
        <w:spacing w:after="0"/>
        <w:rPr>
          <w:b/>
          <w:bCs/>
          <w:sz w:val="24"/>
          <w:szCs w:val="24"/>
        </w:rPr>
      </w:pPr>
    </w:p>
    <w:p w14:paraId="7945C7A0" w14:textId="3F14BD81" w:rsidR="009A4DC1" w:rsidRDefault="00771FD3">
      <w:r>
        <w:t>These projections indicate</w:t>
      </w:r>
      <w:r w:rsidR="005B06D9">
        <w:t xml:space="preserve"> that at the end of this financial year</w:t>
      </w:r>
      <w:r>
        <w:t>,</w:t>
      </w:r>
      <w:r w:rsidR="005B06D9">
        <w:t xml:space="preserve"> we will hold approximately £</w:t>
      </w:r>
      <w:r w:rsidR="00680A4D">
        <w:t>87,842.74</w:t>
      </w:r>
      <w:r w:rsidR="009A4DC1">
        <w:t xml:space="preserve"> </w:t>
      </w:r>
      <w:r w:rsidR="00A130A1">
        <w:t>in Earmarked Reserves and £</w:t>
      </w:r>
      <w:r w:rsidR="009A4DC1">
        <w:t>1</w:t>
      </w:r>
      <w:r w:rsidR="00680A4D">
        <w:t>04.990.26</w:t>
      </w:r>
      <w:r w:rsidR="009A4DC1">
        <w:t xml:space="preserve"> </w:t>
      </w:r>
      <w:r w:rsidR="00A130A1">
        <w:t>in General Reserves</w:t>
      </w:r>
      <w:r w:rsidR="00CD3A2A">
        <w:t>, i.e</w:t>
      </w:r>
      <w:r w:rsidR="00816612">
        <w:t>.</w:t>
      </w:r>
      <w:r w:rsidR="00CD3A2A">
        <w:t>, a total of £</w:t>
      </w:r>
      <w:r w:rsidR="009A4DC1">
        <w:t>192,</w:t>
      </w:r>
      <w:r w:rsidR="00685591">
        <w:t>8</w:t>
      </w:r>
      <w:r w:rsidR="009A4DC1">
        <w:t>33.00.</w:t>
      </w:r>
      <w:r w:rsidR="0049265F">
        <w:t xml:space="preserve"> </w:t>
      </w:r>
      <w:r w:rsidR="009A4DC1">
        <w:t>(This does not include the amount outstanding from Harwich Ports</w:t>
      </w:r>
      <w:r w:rsidR="0049265F">
        <w:t>)</w:t>
      </w:r>
      <w:r w:rsidR="009A4DC1">
        <w:t>.</w:t>
      </w:r>
    </w:p>
    <w:p w14:paraId="26BEB05E" w14:textId="5A25861F" w:rsidR="00A130A1" w:rsidRDefault="00A130A1">
      <w:r>
        <w:t>Th</w:t>
      </w:r>
      <w:r w:rsidR="0049265F">
        <w:t>ese figures</w:t>
      </w:r>
      <w:r>
        <w:t xml:space="preserve"> </w:t>
      </w:r>
      <w:r w:rsidR="0049265F">
        <w:t>are</w:t>
      </w:r>
      <w:r>
        <w:t xml:space="preserve"> based on the following calculations:</w:t>
      </w:r>
    </w:p>
    <w:tbl>
      <w:tblPr>
        <w:tblStyle w:val="TableGrid"/>
        <w:tblW w:w="9209" w:type="dxa"/>
        <w:tblLook w:val="04A0" w:firstRow="1" w:lastRow="0" w:firstColumn="1" w:lastColumn="0" w:noHBand="0" w:noVBand="1"/>
      </w:tblPr>
      <w:tblGrid>
        <w:gridCol w:w="5807"/>
        <w:gridCol w:w="3402"/>
      </w:tblGrid>
      <w:tr w:rsidR="00A130A1" w14:paraId="1FD97C5B" w14:textId="5988A04B" w:rsidTr="00670C24">
        <w:tc>
          <w:tcPr>
            <w:tcW w:w="5807" w:type="dxa"/>
          </w:tcPr>
          <w:p w14:paraId="40193288" w14:textId="3AE20B10" w:rsidR="00A130A1" w:rsidRDefault="00A130A1">
            <w:r>
              <w:t>Opening balance</w:t>
            </w:r>
            <w:r w:rsidR="00CD3A2A">
              <w:t xml:space="preserve"> at 01/04/2023</w:t>
            </w:r>
            <w:r>
              <w:t>:</w:t>
            </w:r>
          </w:p>
        </w:tc>
        <w:tc>
          <w:tcPr>
            <w:tcW w:w="3402" w:type="dxa"/>
          </w:tcPr>
          <w:p w14:paraId="21B46027" w14:textId="0CCD4234" w:rsidR="00A130A1" w:rsidRDefault="00A130A1">
            <w:r>
              <w:t>£</w:t>
            </w:r>
            <w:r w:rsidR="009A347F">
              <w:t>190</w:t>
            </w:r>
            <w:r w:rsidR="00F87500">
              <w:t>,</w:t>
            </w:r>
            <w:r w:rsidR="009A347F">
              <w:t>125</w:t>
            </w:r>
            <w:r w:rsidR="00F74B24">
              <w:t>.00</w:t>
            </w:r>
          </w:p>
        </w:tc>
      </w:tr>
      <w:tr w:rsidR="00A130A1" w14:paraId="25FE1B0B" w14:textId="145A6DBB" w:rsidTr="00670C24">
        <w:tc>
          <w:tcPr>
            <w:tcW w:w="5807" w:type="dxa"/>
          </w:tcPr>
          <w:p w14:paraId="75846DC5" w14:textId="77777777" w:rsidR="00A130A1" w:rsidRDefault="00A130A1"/>
        </w:tc>
        <w:tc>
          <w:tcPr>
            <w:tcW w:w="3402" w:type="dxa"/>
          </w:tcPr>
          <w:p w14:paraId="7474200A" w14:textId="77777777" w:rsidR="00A130A1" w:rsidRDefault="00A130A1"/>
        </w:tc>
      </w:tr>
      <w:tr w:rsidR="00A130A1" w14:paraId="7D9767B1" w14:textId="16B3825A" w:rsidTr="00670C24">
        <w:tc>
          <w:tcPr>
            <w:tcW w:w="5807" w:type="dxa"/>
          </w:tcPr>
          <w:p w14:paraId="20602EC5" w14:textId="379519E5" w:rsidR="00A130A1" w:rsidRDefault="00A130A1">
            <w:r>
              <w:t xml:space="preserve">Add actual and projected receipts to </w:t>
            </w:r>
            <w:r w:rsidR="009A347F">
              <w:t xml:space="preserve">the </w:t>
            </w:r>
            <w:r>
              <w:t>year-end</w:t>
            </w:r>
          </w:p>
        </w:tc>
        <w:tc>
          <w:tcPr>
            <w:tcW w:w="3402" w:type="dxa"/>
          </w:tcPr>
          <w:p w14:paraId="24EEF0C4" w14:textId="54459EEF" w:rsidR="00A130A1" w:rsidRDefault="00A130A1">
            <w:r>
              <w:t>£</w:t>
            </w:r>
            <w:r w:rsidR="00DD1A0C">
              <w:t>79,411</w:t>
            </w:r>
            <w:r w:rsidR="00F74B24">
              <w:t>.00</w:t>
            </w:r>
          </w:p>
        </w:tc>
      </w:tr>
      <w:tr w:rsidR="00A130A1" w14:paraId="70E63D2A" w14:textId="2F87E150" w:rsidTr="00670C24">
        <w:tc>
          <w:tcPr>
            <w:tcW w:w="5807" w:type="dxa"/>
          </w:tcPr>
          <w:p w14:paraId="3471DEFF" w14:textId="16ADDA98" w:rsidR="00A130A1" w:rsidRDefault="00A130A1">
            <w:r>
              <w:t>Deduct actual and projected payments to year</w:t>
            </w:r>
            <w:r w:rsidR="001E5136">
              <w:t>-</w:t>
            </w:r>
            <w:r>
              <w:t>end</w:t>
            </w:r>
          </w:p>
        </w:tc>
        <w:tc>
          <w:tcPr>
            <w:tcW w:w="3402" w:type="dxa"/>
          </w:tcPr>
          <w:p w14:paraId="0F84B37B" w14:textId="42D33267" w:rsidR="00A130A1" w:rsidRDefault="00A130A1">
            <w:r>
              <w:t>(£</w:t>
            </w:r>
            <w:r w:rsidR="00F74B24">
              <w:t>76,703.00</w:t>
            </w:r>
            <w:r>
              <w:t>)</w:t>
            </w:r>
          </w:p>
        </w:tc>
      </w:tr>
      <w:tr w:rsidR="00A130A1" w14:paraId="2439976A" w14:textId="21507E6D" w:rsidTr="00670C24">
        <w:tc>
          <w:tcPr>
            <w:tcW w:w="5807" w:type="dxa"/>
          </w:tcPr>
          <w:p w14:paraId="4BC55909" w14:textId="5BD1669E" w:rsidR="00A130A1" w:rsidRDefault="00A130A1">
            <w:r>
              <w:t>Final projected net Receipts over Payments</w:t>
            </w:r>
          </w:p>
        </w:tc>
        <w:tc>
          <w:tcPr>
            <w:tcW w:w="3402" w:type="dxa"/>
          </w:tcPr>
          <w:p w14:paraId="6CF593F2" w14:textId="4A5EEA64" w:rsidR="00A130A1" w:rsidRDefault="004B75B5">
            <w:r>
              <w:t>(</w:t>
            </w:r>
            <w:r w:rsidR="00A130A1">
              <w:t>£</w:t>
            </w:r>
            <w:r>
              <w:t>2,708.00)</w:t>
            </w:r>
          </w:p>
        </w:tc>
      </w:tr>
      <w:tr w:rsidR="000D7A1C" w14:paraId="398C2CB8" w14:textId="77777777" w:rsidTr="00670C24">
        <w:tc>
          <w:tcPr>
            <w:tcW w:w="5807" w:type="dxa"/>
          </w:tcPr>
          <w:p w14:paraId="775D0B21" w14:textId="6F3A14BB" w:rsidR="000D7A1C" w:rsidRDefault="0041680C">
            <w:r>
              <w:t xml:space="preserve">Final Balance carried </w:t>
            </w:r>
            <w:r w:rsidR="00DF114B">
              <w:t>forward</w:t>
            </w:r>
            <w:r w:rsidR="00F87500">
              <w:t xml:space="preserve"> to 2024/2025</w:t>
            </w:r>
          </w:p>
        </w:tc>
        <w:tc>
          <w:tcPr>
            <w:tcW w:w="3402" w:type="dxa"/>
          </w:tcPr>
          <w:p w14:paraId="4780F6E3" w14:textId="223A390E" w:rsidR="000D7A1C" w:rsidRDefault="00F87500">
            <w:r>
              <w:t>£</w:t>
            </w:r>
            <w:r w:rsidR="0049654A">
              <w:t>192</w:t>
            </w:r>
            <w:r>
              <w:t>,833.00</w:t>
            </w:r>
          </w:p>
        </w:tc>
      </w:tr>
    </w:tbl>
    <w:p w14:paraId="16F7BEE9" w14:textId="77777777" w:rsidR="003D1B0D" w:rsidRPr="00C7687E" w:rsidRDefault="003D1B0D">
      <w:pPr>
        <w:rPr>
          <w:u w:val="single"/>
        </w:rPr>
      </w:pPr>
    </w:p>
    <w:p w14:paraId="797F79CE" w14:textId="3A53495E" w:rsidR="003D47FB" w:rsidRPr="00C7687E" w:rsidRDefault="003D47FB">
      <w:pPr>
        <w:rPr>
          <w:u w:val="single"/>
        </w:rPr>
      </w:pPr>
      <w:r w:rsidRPr="00C7687E">
        <w:rPr>
          <w:u w:val="single"/>
        </w:rPr>
        <w:t>Represented by:</w:t>
      </w:r>
    </w:p>
    <w:p w14:paraId="2F40E7CE" w14:textId="33EC858C" w:rsidR="003D47FB" w:rsidRDefault="003D47FB">
      <w:pPr>
        <w:rPr>
          <w:b/>
          <w:bCs/>
        </w:rPr>
      </w:pPr>
      <w:r w:rsidRPr="004958C0">
        <w:rPr>
          <w:b/>
          <w:bCs/>
        </w:rPr>
        <w:t>Earmarked Reserves:</w:t>
      </w:r>
      <w:r w:rsidR="008D71EA" w:rsidRPr="004958C0">
        <w:rPr>
          <w:b/>
          <w:bCs/>
        </w:rPr>
        <w:tab/>
      </w:r>
      <w:r w:rsidR="008D71EA" w:rsidRPr="004958C0">
        <w:rPr>
          <w:b/>
          <w:bCs/>
        </w:rPr>
        <w:tab/>
      </w:r>
      <w:r w:rsidR="000E4676" w:rsidRPr="004958C0">
        <w:rPr>
          <w:b/>
          <w:bCs/>
        </w:rPr>
        <w:t>£</w:t>
      </w:r>
      <w:r w:rsidR="00AA50FC">
        <w:rPr>
          <w:b/>
          <w:bCs/>
        </w:rPr>
        <w:t>87,842.74</w:t>
      </w:r>
      <w:r w:rsidR="00A76797" w:rsidRPr="004958C0">
        <w:rPr>
          <w:b/>
          <w:bCs/>
        </w:rPr>
        <w:tab/>
      </w:r>
      <w:r w:rsidR="00A76797" w:rsidRPr="004958C0">
        <w:rPr>
          <w:b/>
          <w:bCs/>
        </w:rPr>
        <w:tab/>
      </w:r>
      <w:r w:rsidR="00A76797" w:rsidRPr="004958C0">
        <w:rPr>
          <w:b/>
          <w:bCs/>
        </w:rPr>
        <w:tab/>
        <w:t>General Reserves:</w:t>
      </w:r>
      <w:r w:rsidR="00755E34">
        <w:rPr>
          <w:b/>
          <w:bCs/>
        </w:rPr>
        <w:t xml:space="preserve">          £104,</w:t>
      </w:r>
      <w:r w:rsidR="003C6335">
        <w:rPr>
          <w:b/>
          <w:bCs/>
        </w:rPr>
        <w:t>9</w:t>
      </w:r>
      <w:r w:rsidR="00755E34">
        <w:rPr>
          <w:b/>
          <w:bCs/>
        </w:rPr>
        <w:t>90.26</w:t>
      </w:r>
    </w:p>
    <w:p w14:paraId="632C39C0" w14:textId="77777777" w:rsidR="004958C0" w:rsidRPr="004958C0" w:rsidRDefault="004958C0">
      <w:pPr>
        <w:rPr>
          <w:b/>
          <w:bCs/>
        </w:rPr>
      </w:pPr>
    </w:p>
    <w:p w14:paraId="70E29D8B" w14:textId="1E81A63E" w:rsidR="003D47FB" w:rsidRDefault="00401976" w:rsidP="00624448">
      <w:pPr>
        <w:spacing w:after="0"/>
      </w:pPr>
      <w:r>
        <w:t>Play</w:t>
      </w:r>
      <w:r w:rsidR="00A43FFC">
        <w:t xml:space="preserve"> </w:t>
      </w:r>
      <w:r w:rsidR="007E48BC">
        <w:t>Eq</w:t>
      </w:r>
      <w:r>
        <w:t>uipment provision</w:t>
      </w:r>
      <w:r>
        <w:tab/>
        <w:t>25,000.00</w:t>
      </w:r>
    </w:p>
    <w:p w14:paraId="632ABA59" w14:textId="023B3CBE" w:rsidR="00401976" w:rsidRDefault="00401976" w:rsidP="00624448">
      <w:pPr>
        <w:spacing w:after="0"/>
      </w:pPr>
      <w:r>
        <w:t>Legal and Professional</w:t>
      </w:r>
      <w:r>
        <w:tab/>
      </w:r>
      <w:r>
        <w:tab/>
        <w:t>£5,000.00</w:t>
      </w:r>
    </w:p>
    <w:p w14:paraId="57A9FE4F" w14:textId="1161EBB6" w:rsidR="00401976" w:rsidRDefault="00401976" w:rsidP="00624448">
      <w:pPr>
        <w:spacing w:after="0"/>
      </w:pPr>
      <w:r>
        <w:t xml:space="preserve">Staff </w:t>
      </w:r>
      <w:r w:rsidR="0099424A">
        <w:t>Co</w:t>
      </w:r>
      <w:r>
        <w:t>ver (</w:t>
      </w:r>
      <w:r w:rsidR="0099424A">
        <w:t>Locum)</w:t>
      </w:r>
      <w:r w:rsidR="0099424A">
        <w:tab/>
      </w:r>
      <w:r w:rsidR="0099424A">
        <w:tab/>
        <w:t>£1,000.00</w:t>
      </w:r>
    </w:p>
    <w:p w14:paraId="1B18302E" w14:textId="357A9334" w:rsidR="0099424A" w:rsidRDefault="0099424A" w:rsidP="00624448">
      <w:pPr>
        <w:spacing w:after="0"/>
      </w:pPr>
      <w:r>
        <w:t>Shot</w:t>
      </w:r>
      <w:r w:rsidR="00A97F5E">
        <w:t>l</w:t>
      </w:r>
      <w:r>
        <w:t>ey Peninsu</w:t>
      </w:r>
      <w:r w:rsidR="00A97F5E">
        <w:t>l</w:t>
      </w:r>
      <w:r>
        <w:t>a Shoreline CIC</w:t>
      </w:r>
      <w:r w:rsidR="00A97F5E">
        <w:tab/>
        <w:t>£2,500.00</w:t>
      </w:r>
    </w:p>
    <w:p w14:paraId="29B6A2C4" w14:textId="25BE4074" w:rsidR="00A97F5E" w:rsidRDefault="006B6306" w:rsidP="00624448">
      <w:pPr>
        <w:spacing w:after="0"/>
      </w:pPr>
      <w:r>
        <w:t xml:space="preserve">Highways </w:t>
      </w:r>
      <w:r>
        <w:tab/>
      </w:r>
      <w:r>
        <w:tab/>
      </w:r>
      <w:r>
        <w:tab/>
        <w:t>£1,000.00</w:t>
      </w:r>
    </w:p>
    <w:p w14:paraId="44B655B9" w14:textId="057D133C" w:rsidR="006B6306" w:rsidRDefault="006B6306" w:rsidP="00624448">
      <w:pPr>
        <w:spacing w:after="0"/>
      </w:pPr>
      <w:r>
        <w:t>Allotments</w:t>
      </w:r>
      <w:r>
        <w:tab/>
      </w:r>
      <w:r>
        <w:tab/>
      </w:r>
      <w:r>
        <w:tab/>
        <w:t>£1,000.00</w:t>
      </w:r>
    </w:p>
    <w:p w14:paraId="7CCA2EFD" w14:textId="52F5E927" w:rsidR="006B6306" w:rsidRDefault="00923A2D" w:rsidP="00624448">
      <w:pPr>
        <w:spacing w:after="0"/>
      </w:pPr>
      <w:r>
        <w:t>UKPN Fund (PA/QQ)</w:t>
      </w:r>
      <w:r>
        <w:tab/>
      </w:r>
      <w:r>
        <w:tab/>
        <w:t>£15,000.00</w:t>
      </w:r>
    </w:p>
    <w:p w14:paraId="415F16BD" w14:textId="4CCB9C60" w:rsidR="00923A2D" w:rsidRDefault="00923A2D" w:rsidP="00624448">
      <w:pPr>
        <w:spacing w:after="0"/>
      </w:pPr>
      <w:r>
        <w:t>Hardship Fund</w:t>
      </w:r>
      <w:r>
        <w:tab/>
      </w:r>
      <w:r>
        <w:tab/>
      </w:r>
      <w:r>
        <w:tab/>
        <w:t>£9,000.00</w:t>
      </w:r>
    </w:p>
    <w:p w14:paraId="02B6525F" w14:textId="11A63E4E" w:rsidR="00923A2D" w:rsidRDefault="007336CF" w:rsidP="00624448">
      <w:pPr>
        <w:spacing w:after="0"/>
      </w:pPr>
      <w:r>
        <w:t>CIL 2019/2020</w:t>
      </w:r>
      <w:r>
        <w:tab/>
      </w:r>
      <w:r>
        <w:tab/>
      </w:r>
      <w:r>
        <w:tab/>
        <w:t>£4,061.30</w:t>
      </w:r>
      <w:r>
        <w:tab/>
      </w:r>
    </w:p>
    <w:p w14:paraId="6E621B90" w14:textId="27F1BC53" w:rsidR="007336CF" w:rsidRDefault="007336CF" w:rsidP="00624448">
      <w:pPr>
        <w:spacing w:after="0"/>
      </w:pPr>
      <w:r>
        <w:t>CIL 2021/2022</w:t>
      </w:r>
      <w:r>
        <w:tab/>
      </w:r>
      <w:r>
        <w:tab/>
      </w:r>
      <w:r>
        <w:tab/>
        <w:t>£2</w:t>
      </w:r>
      <w:r w:rsidR="00250681">
        <w:t>,211.06</w:t>
      </w:r>
    </w:p>
    <w:p w14:paraId="4B07F782" w14:textId="4EBA970E" w:rsidR="00250681" w:rsidRDefault="00250681" w:rsidP="00624448">
      <w:pPr>
        <w:spacing w:after="0"/>
      </w:pPr>
      <w:r>
        <w:t>CIL 2022/2023</w:t>
      </w:r>
      <w:r>
        <w:tab/>
      </w:r>
      <w:r>
        <w:tab/>
      </w:r>
      <w:r>
        <w:tab/>
        <w:t>£</w:t>
      </w:r>
      <w:r w:rsidR="00F315CC">
        <w:t>18,636.38</w:t>
      </w:r>
      <w:r w:rsidR="00975D84">
        <w:t xml:space="preserve"> </w:t>
      </w:r>
    </w:p>
    <w:p w14:paraId="6F38AF49" w14:textId="74DB67D8" w:rsidR="00975D84" w:rsidRDefault="00975D84">
      <w:r>
        <w:t>CIL 2023/2024 (so far)</w:t>
      </w:r>
      <w:r>
        <w:tab/>
      </w:r>
      <w:r>
        <w:tab/>
        <w:t>£</w:t>
      </w:r>
      <w:r w:rsidR="00F315CC">
        <w:t>3,434.00</w:t>
      </w:r>
    </w:p>
    <w:p w14:paraId="0FCD0B82" w14:textId="77777777" w:rsidR="003D47FB" w:rsidRDefault="003D47FB"/>
    <w:p w14:paraId="316ED7D1" w14:textId="3E08275B" w:rsidR="00C63FC4" w:rsidRDefault="00CE6517">
      <w:r>
        <w:t xml:space="preserve">The next section </w:t>
      </w:r>
      <w:r w:rsidR="0049265F">
        <w:t>of</w:t>
      </w:r>
      <w:r>
        <w:t xml:space="preserve"> this report will explain the rationale behind the budgeted amounts for 2024</w:t>
      </w:r>
      <w:r w:rsidR="00027F20">
        <w:t xml:space="preserve"> </w:t>
      </w:r>
      <w:r>
        <w:t>/2025.</w:t>
      </w:r>
      <w:r w:rsidR="0049265F">
        <w:t xml:space="preserve"> </w:t>
      </w:r>
      <w:r w:rsidR="00950F3F">
        <w:t xml:space="preserve">Please note that there are three main columns: </w:t>
      </w:r>
      <w:r w:rsidR="00400B56">
        <w:t>To the left,</w:t>
      </w:r>
      <w:r w:rsidR="00FC6BB9">
        <w:t xml:space="preserve"> actual v</w:t>
      </w:r>
      <w:r w:rsidR="00400B56">
        <w:t>s</w:t>
      </w:r>
      <w:r w:rsidR="00FC6BB9">
        <w:t xml:space="preserve"> budget for 2022/2023, the middle for the current year</w:t>
      </w:r>
      <w:r w:rsidR="0049265F">
        <w:t>'s</w:t>
      </w:r>
      <w:r w:rsidR="00FC6BB9">
        <w:t xml:space="preserve"> </w:t>
      </w:r>
      <w:r w:rsidR="00807A75">
        <w:t>actual (</w:t>
      </w:r>
      <w:r w:rsidR="00400B56">
        <w:t xml:space="preserve">to 31.12.23) vs budget (for the full year), and to the right, </w:t>
      </w:r>
      <w:r w:rsidR="00400B56">
        <w:lastRenderedPageBreak/>
        <w:t>next year’s proposals.</w:t>
      </w:r>
      <w:r w:rsidR="00D37092">
        <w:t xml:space="preserve"> I will only list</w:t>
      </w:r>
      <w:r w:rsidR="00A64C6A">
        <w:t xml:space="preserve"> any significant </w:t>
      </w:r>
      <w:r w:rsidR="00807A75">
        <w:t>changes,</w:t>
      </w:r>
      <w:r w:rsidR="00A64C6A">
        <w:t xml:space="preserve"> but members may ask about any smaller ones if they wish.</w:t>
      </w:r>
      <w:r w:rsidR="00896301">
        <w:t xml:space="preserve"> </w:t>
      </w:r>
    </w:p>
    <w:tbl>
      <w:tblPr>
        <w:tblStyle w:val="TableGrid"/>
        <w:tblW w:w="9493" w:type="dxa"/>
        <w:tblLook w:val="04A0" w:firstRow="1" w:lastRow="0" w:firstColumn="1" w:lastColumn="0" w:noHBand="0" w:noVBand="1"/>
      </w:tblPr>
      <w:tblGrid>
        <w:gridCol w:w="1528"/>
        <w:gridCol w:w="3429"/>
        <w:gridCol w:w="4536"/>
      </w:tblGrid>
      <w:tr w:rsidR="00004835" w14:paraId="4826E5DF" w14:textId="77777777" w:rsidTr="009B5A05">
        <w:tc>
          <w:tcPr>
            <w:tcW w:w="1528" w:type="dxa"/>
          </w:tcPr>
          <w:p w14:paraId="53DCC29F" w14:textId="35F4BA55" w:rsidR="00004835" w:rsidRPr="00AB348F" w:rsidRDefault="00FD61CF">
            <w:pPr>
              <w:rPr>
                <w:b/>
                <w:bCs/>
              </w:rPr>
            </w:pPr>
            <w:r w:rsidRPr="00AB348F">
              <w:rPr>
                <w:b/>
                <w:bCs/>
              </w:rPr>
              <w:t>Cost C</w:t>
            </w:r>
            <w:r w:rsidR="008030ED" w:rsidRPr="00AB348F">
              <w:rPr>
                <w:b/>
                <w:bCs/>
              </w:rPr>
              <w:t>ode</w:t>
            </w:r>
            <w:r w:rsidRPr="00AB348F">
              <w:rPr>
                <w:b/>
                <w:bCs/>
              </w:rPr>
              <w:t>:</w:t>
            </w:r>
          </w:p>
        </w:tc>
        <w:tc>
          <w:tcPr>
            <w:tcW w:w="3429" w:type="dxa"/>
          </w:tcPr>
          <w:p w14:paraId="57233490" w14:textId="688EA82B" w:rsidR="00004835" w:rsidRPr="00AB348F" w:rsidRDefault="00FD61CF">
            <w:pPr>
              <w:rPr>
                <w:b/>
                <w:bCs/>
              </w:rPr>
            </w:pPr>
            <w:r w:rsidRPr="00AB348F">
              <w:rPr>
                <w:b/>
                <w:bCs/>
              </w:rPr>
              <w:t>Receipts:</w:t>
            </w:r>
          </w:p>
        </w:tc>
        <w:tc>
          <w:tcPr>
            <w:tcW w:w="4536" w:type="dxa"/>
          </w:tcPr>
          <w:p w14:paraId="7CA45A3E" w14:textId="46DD3783" w:rsidR="00004835" w:rsidRPr="00AB348F" w:rsidRDefault="00FD61CF">
            <w:pPr>
              <w:rPr>
                <w:b/>
                <w:bCs/>
              </w:rPr>
            </w:pPr>
            <w:r w:rsidRPr="00AB348F">
              <w:rPr>
                <w:b/>
                <w:bCs/>
              </w:rPr>
              <w:t>Payments:</w:t>
            </w:r>
          </w:p>
        </w:tc>
      </w:tr>
      <w:tr w:rsidR="00004835" w14:paraId="3D0F8169" w14:textId="77777777" w:rsidTr="009B5A05">
        <w:tc>
          <w:tcPr>
            <w:tcW w:w="1528" w:type="dxa"/>
          </w:tcPr>
          <w:p w14:paraId="174D84D7" w14:textId="646800A8" w:rsidR="00004835" w:rsidRDefault="008030ED">
            <w:r>
              <w:t>Precept</w:t>
            </w:r>
          </w:p>
        </w:tc>
        <w:tc>
          <w:tcPr>
            <w:tcW w:w="3429" w:type="dxa"/>
          </w:tcPr>
          <w:p w14:paraId="13EDE401" w14:textId="6D14F6B6" w:rsidR="00004835" w:rsidRDefault="007764E6">
            <w:r>
              <w:t xml:space="preserve">Increase </w:t>
            </w:r>
            <w:r w:rsidR="0046009B">
              <w:t>due</w:t>
            </w:r>
            <w:r w:rsidR="00D216A6">
              <w:t xml:space="preserve"> to projected revenue expenditure increased costs.</w:t>
            </w:r>
            <w:r w:rsidR="0046009B">
              <w:t xml:space="preserve"> </w:t>
            </w:r>
            <w:r w:rsidR="00C5633C">
              <w:t xml:space="preserve">This increase will result in a </w:t>
            </w:r>
            <w:r w:rsidR="00D633E8">
              <w:t>negligible percentage</w:t>
            </w:r>
            <w:r w:rsidR="00C5633C">
              <w:t xml:space="preserve"> increase on </w:t>
            </w:r>
            <w:r w:rsidR="00024A4D">
              <w:t>taxpayers</w:t>
            </w:r>
            <w:r w:rsidR="005D03E8">
              <w:t>'</w:t>
            </w:r>
            <w:r w:rsidR="00C5633C">
              <w:t xml:space="preserve"> bill</w:t>
            </w:r>
            <w:r w:rsidR="00FE23EA">
              <w:t>s</w:t>
            </w:r>
            <w:r w:rsidR="00024A4D">
              <w:t xml:space="preserve"> </w:t>
            </w:r>
            <w:r w:rsidR="00F444A9">
              <w:t xml:space="preserve">of 0.96% or </w:t>
            </w:r>
            <w:r w:rsidR="00CF218B">
              <w:t xml:space="preserve">£0. 81p </w:t>
            </w:r>
            <w:r w:rsidR="005D3415">
              <w:t>(See Precept Note)</w:t>
            </w:r>
          </w:p>
        </w:tc>
        <w:tc>
          <w:tcPr>
            <w:tcW w:w="4536" w:type="dxa"/>
          </w:tcPr>
          <w:p w14:paraId="2850C12C" w14:textId="77777777" w:rsidR="00004835" w:rsidRDefault="00004835"/>
        </w:tc>
      </w:tr>
      <w:tr w:rsidR="00004835" w14:paraId="25E836E9" w14:textId="77777777" w:rsidTr="009B5A05">
        <w:tc>
          <w:tcPr>
            <w:tcW w:w="1528" w:type="dxa"/>
          </w:tcPr>
          <w:p w14:paraId="16E47D7A" w14:textId="0C6F5A96" w:rsidR="00004835" w:rsidRDefault="002914D2">
            <w:r>
              <w:t>CIL</w:t>
            </w:r>
          </w:p>
        </w:tc>
        <w:tc>
          <w:tcPr>
            <w:tcW w:w="3429" w:type="dxa"/>
          </w:tcPr>
          <w:p w14:paraId="56AE6D1D" w14:textId="1149EE5B" w:rsidR="00004835" w:rsidRDefault="002914D2">
            <w:r>
              <w:t xml:space="preserve">Advised to insert a nil value as the actual figure is unknown and can’t be estimated. </w:t>
            </w:r>
            <w:r w:rsidR="00892549">
              <w:t>CIL</w:t>
            </w:r>
            <w:r>
              <w:t xml:space="preserve"> also cannot b</w:t>
            </w:r>
            <w:r w:rsidR="00892549">
              <w:t>e</w:t>
            </w:r>
            <w:r>
              <w:t xml:space="preserve"> used to </w:t>
            </w:r>
            <w:r w:rsidR="00892549">
              <w:t>pay</w:t>
            </w:r>
            <w:r>
              <w:t xml:space="preserve"> for revenue expenditure</w:t>
            </w:r>
            <w:r w:rsidR="00A86B81">
              <w:t>, therefore by showing any income it could</w:t>
            </w:r>
            <w:r w:rsidR="005D3415">
              <w:t xml:space="preserve"> </w:t>
            </w:r>
            <w:r w:rsidR="00A86B81">
              <w:t>give a false s</w:t>
            </w:r>
            <w:r w:rsidR="00892549">
              <w:t>ense of inflated income.</w:t>
            </w:r>
            <w:r w:rsidR="00A86B81">
              <w:t xml:space="preserve"> </w:t>
            </w:r>
          </w:p>
        </w:tc>
        <w:tc>
          <w:tcPr>
            <w:tcW w:w="4536" w:type="dxa"/>
          </w:tcPr>
          <w:p w14:paraId="7C9CC96C" w14:textId="77777777" w:rsidR="00004835" w:rsidRDefault="00004835"/>
        </w:tc>
      </w:tr>
      <w:tr w:rsidR="00004835" w14:paraId="20BBF150" w14:textId="77777777" w:rsidTr="009B5A05">
        <w:tc>
          <w:tcPr>
            <w:tcW w:w="1528" w:type="dxa"/>
          </w:tcPr>
          <w:p w14:paraId="588F5A17" w14:textId="1B81EC6F" w:rsidR="00004835" w:rsidRDefault="003F1DB8">
            <w:r>
              <w:t>Salaries and HMR</w:t>
            </w:r>
          </w:p>
        </w:tc>
        <w:tc>
          <w:tcPr>
            <w:tcW w:w="3429" w:type="dxa"/>
          </w:tcPr>
          <w:p w14:paraId="0E800F35" w14:textId="77777777" w:rsidR="00004835" w:rsidRDefault="00004835"/>
        </w:tc>
        <w:tc>
          <w:tcPr>
            <w:tcW w:w="4536" w:type="dxa"/>
          </w:tcPr>
          <w:p w14:paraId="61D4187A" w14:textId="26D9992B" w:rsidR="00004835" w:rsidRDefault="003F1DB8">
            <w:r>
              <w:t xml:space="preserve">The basis of workings is </w:t>
            </w:r>
            <w:r w:rsidR="00023CF0">
              <w:t xml:space="preserve">the </w:t>
            </w:r>
            <w:r>
              <w:t>current rate of pay</w:t>
            </w:r>
            <w:r w:rsidR="00412B51">
              <w:t xml:space="preserve"> (which includes this year’s increase of £1 per hour)</w:t>
            </w:r>
            <w:r>
              <w:t>, plus 3</w:t>
            </w:r>
            <w:r w:rsidR="008B7DAD">
              <w:t>%</w:t>
            </w:r>
            <w:r>
              <w:t xml:space="preserve"> increase projection for the 2024/2025 NJ</w:t>
            </w:r>
            <w:r w:rsidR="008B7DAD">
              <w:t>C annual pay review</w:t>
            </w:r>
            <w:r w:rsidR="00EB588F">
              <w:t>.</w:t>
            </w:r>
            <w:r w:rsidR="00233C1B">
              <w:t xml:space="preserve"> </w:t>
            </w:r>
          </w:p>
        </w:tc>
      </w:tr>
      <w:tr w:rsidR="00004835" w14:paraId="203BDE31" w14:textId="77777777" w:rsidTr="009B5A05">
        <w:tc>
          <w:tcPr>
            <w:tcW w:w="1528" w:type="dxa"/>
          </w:tcPr>
          <w:p w14:paraId="6525609A" w14:textId="21B064D1" w:rsidR="00004835" w:rsidRDefault="00F845DE">
            <w:r>
              <w:t>Training</w:t>
            </w:r>
          </w:p>
        </w:tc>
        <w:tc>
          <w:tcPr>
            <w:tcW w:w="3429" w:type="dxa"/>
          </w:tcPr>
          <w:p w14:paraId="65F7EC47" w14:textId="77777777" w:rsidR="00004835" w:rsidRDefault="00004835"/>
        </w:tc>
        <w:tc>
          <w:tcPr>
            <w:tcW w:w="4536" w:type="dxa"/>
          </w:tcPr>
          <w:p w14:paraId="7330550E" w14:textId="2BECAC7C" w:rsidR="00004835" w:rsidRDefault="00AD6D8F">
            <w:r>
              <w:t>This w</w:t>
            </w:r>
            <w:r w:rsidR="00F845DE">
              <w:t xml:space="preserve">ill continue to be undertaken next year </w:t>
            </w:r>
            <w:r>
              <w:t xml:space="preserve">as members have not </w:t>
            </w:r>
            <w:r w:rsidR="00920152">
              <w:t>yet attended any training</w:t>
            </w:r>
          </w:p>
        </w:tc>
      </w:tr>
      <w:tr w:rsidR="00004835" w14:paraId="3BA3EFBD" w14:textId="77777777" w:rsidTr="009B5A05">
        <w:tc>
          <w:tcPr>
            <w:tcW w:w="1528" w:type="dxa"/>
          </w:tcPr>
          <w:p w14:paraId="33C7CB0E" w14:textId="7A4E025A" w:rsidR="00004835" w:rsidRDefault="00733036">
            <w:r>
              <w:t>Legal and profe</w:t>
            </w:r>
            <w:r w:rsidR="0032394D">
              <w:t>s</w:t>
            </w:r>
            <w:r>
              <w:t>sional</w:t>
            </w:r>
          </w:p>
        </w:tc>
        <w:tc>
          <w:tcPr>
            <w:tcW w:w="3429" w:type="dxa"/>
          </w:tcPr>
          <w:p w14:paraId="12C595FB" w14:textId="77777777" w:rsidR="00004835" w:rsidRDefault="00004835"/>
        </w:tc>
        <w:tc>
          <w:tcPr>
            <w:tcW w:w="4536" w:type="dxa"/>
          </w:tcPr>
          <w:p w14:paraId="41177302" w14:textId="0E8A22B5" w:rsidR="00004835" w:rsidRDefault="00920152">
            <w:r>
              <w:t>This has been set to nil as it</w:t>
            </w:r>
            <w:r w:rsidR="0032394D">
              <w:t xml:space="preserve"> has a healthy £</w:t>
            </w:r>
            <w:r w:rsidR="00023CF0">
              <w:t>5</w:t>
            </w:r>
            <w:r w:rsidR="0032394D">
              <w:t>k reserve, and some matters would be covered by the insurance policy.</w:t>
            </w:r>
          </w:p>
        </w:tc>
      </w:tr>
      <w:tr w:rsidR="00004835" w14:paraId="1896FEC8" w14:textId="77777777" w:rsidTr="009B5A05">
        <w:tc>
          <w:tcPr>
            <w:tcW w:w="1528" w:type="dxa"/>
          </w:tcPr>
          <w:p w14:paraId="1B31019A" w14:textId="407CA502" w:rsidR="00004835" w:rsidRDefault="001A2F0F">
            <w:r>
              <w:t>Website</w:t>
            </w:r>
          </w:p>
        </w:tc>
        <w:tc>
          <w:tcPr>
            <w:tcW w:w="3429" w:type="dxa"/>
          </w:tcPr>
          <w:p w14:paraId="42171F8D" w14:textId="77777777" w:rsidR="00004835" w:rsidRDefault="00004835"/>
        </w:tc>
        <w:tc>
          <w:tcPr>
            <w:tcW w:w="4536" w:type="dxa"/>
          </w:tcPr>
          <w:p w14:paraId="0C223D51" w14:textId="06A07BF8" w:rsidR="00004835" w:rsidRDefault="005A0DF3">
            <w:r>
              <w:t>The i</w:t>
            </w:r>
            <w:r w:rsidR="001A2F0F">
              <w:t xml:space="preserve">ncrease reflects </w:t>
            </w:r>
            <w:r>
              <w:t xml:space="preserve">the </w:t>
            </w:r>
            <w:r w:rsidR="001A2F0F">
              <w:t xml:space="preserve">new Editor and additional survey </w:t>
            </w:r>
            <w:r>
              <w:t>software for</w:t>
            </w:r>
            <w:r w:rsidR="00023CF0">
              <w:t xml:space="preserve"> </w:t>
            </w:r>
            <w:r>
              <w:t>play</w:t>
            </w:r>
            <w:r w:rsidR="00023CF0">
              <w:t xml:space="preserve"> </w:t>
            </w:r>
            <w:r>
              <w:t xml:space="preserve">areas survey </w:t>
            </w:r>
          </w:p>
        </w:tc>
      </w:tr>
      <w:tr w:rsidR="00004835" w14:paraId="298A4C7F" w14:textId="77777777" w:rsidTr="009B5A05">
        <w:tc>
          <w:tcPr>
            <w:tcW w:w="1528" w:type="dxa"/>
          </w:tcPr>
          <w:p w14:paraId="73B8F487" w14:textId="65F8F902" w:rsidR="00004835" w:rsidRDefault="00FE528F">
            <w:r>
              <w:t>Suffolk Library Funding</w:t>
            </w:r>
          </w:p>
        </w:tc>
        <w:tc>
          <w:tcPr>
            <w:tcW w:w="3429" w:type="dxa"/>
          </w:tcPr>
          <w:p w14:paraId="1989CFE3" w14:textId="77777777" w:rsidR="00004835" w:rsidRDefault="00004835"/>
        </w:tc>
        <w:tc>
          <w:tcPr>
            <w:tcW w:w="4536" w:type="dxa"/>
          </w:tcPr>
          <w:p w14:paraId="56F90038" w14:textId="7C17B48C" w:rsidR="00004835" w:rsidRDefault="00FE528F">
            <w:r>
              <w:t>Has not been included as was provided as part of</w:t>
            </w:r>
            <w:r w:rsidR="004653F3">
              <w:t xml:space="preserve"> continuity funding. Members may consider providing further funding</w:t>
            </w:r>
            <w:r w:rsidR="007B478F">
              <w:t xml:space="preserve"> but should be mind</w:t>
            </w:r>
            <w:r w:rsidR="00630663">
              <w:t>ful</w:t>
            </w:r>
            <w:r w:rsidR="007B478F">
              <w:t xml:space="preserve"> of the requirement for it to be commensurate with </w:t>
            </w:r>
            <w:r w:rsidR="00630663">
              <w:t>the number of residents who benefit from the service</w:t>
            </w:r>
          </w:p>
        </w:tc>
      </w:tr>
      <w:tr w:rsidR="000305D7" w14:paraId="372DCC9F" w14:textId="77777777" w:rsidTr="009B5A05">
        <w:tc>
          <w:tcPr>
            <w:tcW w:w="1528" w:type="dxa"/>
          </w:tcPr>
          <w:p w14:paraId="2C7E3C43" w14:textId="42E79861" w:rsidR="000305D7" w:rsidRDefault="00A76342">
            <w:r>
              <w:t>Emergency Funding</w:t>
            </w:r>
          </w:p>
        </w:tc>
        <w:tc>
          <w:tcPr>
            <w:tcW w:w="3429" w:type="dxa"/>
          </w:tcPr>
          <w:p w14:paraId="01DA9249" w14:textId="77777777" w:rsidR="000305D7" w:rsidRDefault="000305D7"/>
        </w:tc>
        <w:tc>
          <w:tcPr>
            <w:tcW w:w="4536" w:type="dxa"/>
          </w:tcPr>
          <w:p w14:paraId="392AB9FC" w14:textId="1EF36FE0" w:rsidR="000305D7" w:rsidRDefault="00AA75FD">
            <w:r>
              <w:t>Budget nil, general reserves to be used in any eventuality</w:t>
            </w:r>
          </w:p>
        </w:tc>
      </w:tr>
      <w:tr w:rsidR="000305D7" w14:paraId="215DB889" w14:textId="77777777" w:rsidTr="009B5A05">
        <w:tc>
          <w:tcPr>
            <w:tcW w:w="1528" w:type="dxa"/>
          </w:tcPr>
          <w:p w14:paraId="58692D3A" w14:textId="0748FB77" w:rsidR="000305D7" w:rsidRDefault="00B42757">
            <w:r>
              <w:t>Bristol Hill Warden</w:t>
            </w:r>
          </w:p>
        </w:tc>
        <w:tc>
          <w:tcPr>
            <w:tcW w:w="3429" w:type="dxa"/>
          </w:tcPr>
          <w:p w14:paraId="55F8FF09" w14:textId="77777777" w:rsidR="000305D7" w:rsidRDefault="000305D7"/>
        </w:tc>
        <w:tc>
          <w:tcPr>
            <w:tcW w:w="4536" w:type="dxa"/>
          </w:tcPr>
          <w:p w14:paraId="4C5CDB81" w14:textId="24D50F32" w:rsidR="000305D7" w:rsidRDefault="00B42757">
            <w:r>
              <w:t>Budget in line with increase agreed 07.12.2023</w:t>
            </w:r>
          </w:p>
        </w:tc>
      </w:tr>
      <w:tr w:rsidR="000305D7" w14:paraId="0F8D54C3" w14:textId="77777777" w:rsidTr="009B5A05">
        <w:tc>
          <w:tcPr>
            <w:tcW w:w="1528" w:type="dxa"/>
          </w:tcPr>
          <w:p w14:paraId="5F3D0368" w14:textId="72078F3D" w:rsidR="000305D7" w:rsidRDefault="00022BF7">
            <w:r>
              <w:t>Warden expenses</w:t>
            </w:r>
          </w:p>
        </w:tc>
        <w:tc>
          <w:tcPr>
            <w:tcW w:w="3429" w:type="dxa"/>
          </w:tcPr>
          <w:p w14:paraId="42B883D9" w14:textId="77777777" w:rsidR="000305D7" w:rsidRDefault="000305D7"/>
        </w:tc>
        <w:tc>
          <w:tcPr>
            <w:tcW w:w="4536" w:type="dxa"/>
          </w:tcPr>
          <w:p w14:paraId="3BA6F838" w14:textId="15F1C3FA" w:rsidR="000305D7" w:rsidRDefault="00022BF7">
            <w:r>
              <w:t>Increased in line with trend and increased costs of materials</w:t>
            </w:r>
          </w:p>
        </w:tc>
      </w:tr>
      <w:tr w:rsidR="000305D7" w14:paraId="76F1AD79" w14:textId="77777777" w:rsidTr="009B5A05">
        <w:tc>
          <w:tcPr>
            <w:tcW w:w="1528" w:type="dxa"/>
          </w:tcPr>
          <w:p w14:paraId="3C558E31" w14:textId="713301F6" w:rsidR="000305D7" w:rsidRDefault="00C05754">
            <w:r>
              <w:t>Litter bin collections</w:t>
            </w:r>
          </w:p>
        </w:tc>
        <w:tc>
          <w:tcPr>
            <w:tcW w:w="3429" w:type="dxa"/>
          </w:tcPr>
          <w:p w14:paraId="393CBC1A" w14:textId="77777777" w:rsidR="000305D7" w:rsidRDefault="000305D7"/>
        </w:tc>
        <w:tc>
          <w:tcPr>
            <w:tcW w:w="4536" w:type="dxa"/>
          </w:tcPr>
          <w:p w14:paraId="6A09042A" w14:textId="63F13BB3" w:rsidR="000305D7" w:rsidRDefault="00C05754">
            <w:r>
              <w:t>Increased in line with projections from BDC</w:t>
            </w:r>
          </w:p>
        </w:tc>
      </w:tr>
      <w:tr w:rsidR="000305D7" w14:paraId="3D74A5A0" w14:textId="77777777" w:rsidTr="009B5A05">
        <w:tc>
          <w:tcPr>
            <w:tcW w:w="1528" w:type="dxa"/>
          </w:tcPr>
          <w:p w14:paraId="6F3F5184" w14:textId="59152DE8" w:rsidR="000305D7" w:rsidRDefault="00BA0FF9">
            <w:r>
              <w:t>Community Orchard Project</w:t>
            </w:r>
          </w:p>
        </w:tc>
        <w:tc>
          <w:tcPr>
            <w:tcW w:w="3429" w:type="dxa"/>
          </w:tcPr>
          <w:p w14:paraId="6B2729EA" w14:textId="77777777" w:rsidR="000305D7" w:rsidRDefault="000305D7"/>
        </w:tc>
        <w:tc>
          <w:tcPr>
            <w:tcW w:w="4536" w:type="dxa"/>
          </w:tcPr>
          <w:p w14:paraId="587FE4AD" w14:textId="7F099CE3" w:rsidR="000305D7" w:rsidRDefault="00BA0FF9">
            <w:r>
              <w:t xml:space="preserve">Budget to cover </w:t>
            </w:r>
            <w:r w:rsidR="00FA2B31">
              <w:t xml:space="preserve">the </w:t>
            </w:r>
            <w:r w:rsidR="00087345">
              <w:t xml:space="preserve">additional </w:t>
            </w:r>
            <w:r>
              <w:t>cost of grass cutting (estimated £50 per cut x 7 per year</w:t>
            </w:r>
            <w:r w:rsidR="00FA2B31">
              <w:t>)</w:t>
            </w:r>
          </w:p>
        </w:tc>
      </w:tr>
      <w:tr w:rsidR="00D406A8" w14:paraId="7C3E13F4" w14:textId="77777777" w:rsidTr="009B5A05">
        <w:tc>
          <w:tcPr>
            <w:tcW w:w="1528" w:type="dxa"/>
          </w:tcPr>
          <w:p w14:paraId="7C4A7993" w14:textId="32894FAF" w:rsidR="00D406A8" w:rsidRDefault="00FA2B31" w:rsidP="00D406A8">
            <w:r>
              <w:t xml:space="preserve">Play areas maintenance </w:t>
            </w:r>
          </w:p>
        </w:tc>
        <w:tc>
          <w:tcPr>
            <w:tcW w:w="3429" w:type="dxa"/>
          </w:tcPr>
          <w:p w14:paraId="5026EBE5" w14:textId="77777777" w:rsidR="00D406A8" w:rsidRDefault="00D406A8" w:rsidP="00D406A8"/>
        </w:tc>
        <w:tc>
          <w:tcPr>
            <w:tcW w:w="4536" w:type="dxa"/>
          </w:tcPr>
          <w:p w14:paraId="003494D3" w14:textId="47130C1C" w:rsidR="00D406A8" w:rsidRDefault="00FA2B31" w:rsidP="00D406A8">
            <w:r>
              <w:t xml:space="preserve">Reduced </w:t>
            </w:r>
            <w:r w:rsidR="004856FB">
              <w:t>as new equipment is expected to be installed and no repairs to be incurred</w:t>
            </w:r>
          </w:p>
        </w:tc>
      </w:tr>
      <w:tr w:rsidR="00D406A8" w14:paraId="6B5A37D9" w14:textId="77777777" w:rsidTr="009B5A05">
        <w:tc>
          <w:tcPr>
            <w:tcW w:w="1528" w:type="dxa"/>
          </w:tcPr>
          <w:p w14:paraId="3B9F7164" w14:textId="6A7AF629" w:rsidR="00D406A8" w:rsidRDefault="00051B7E" w:rsidP="00D406A8">
            <w:r>
              <w:t>SPS CIC</w:t>
            </w:r>
          </w:p>
        </w:tc>
        <w:tc>
          <w:tcPr>
            <w:tcW w:w="3429" w:type="dxa"/>
          </w:tcPr>
          <w:p w14:paraId="6ECDDFA5" w14:textId="0A426D5F" w:rsidR="00D406A8" w:rsidRDefault="00D406A8" w:rsidP="00D406A8"/>
        </w:tc>
        <w:tc>
          <w:tcPr>
            <w:tcW w:w="4536" w:type="dxa"/>
          </w:tcPr>
          <w:p w14:paraId="6B09A05E" w14:textId="3EC1E1A5" w:rsidR="00D406A8" w:rsidRDefault="00DB47A1" w:rsidP="00D406A8">
            <w:r>
              <w:t>Recent storms have caused further damage and additional cages</w:t>
            </w:r>
            <w:r w:rsidR="00087345">
              <w:t xml:space="preserve"> and materials</w:t>
            </w:r>
            <w:r>
              <w:t xml:space="preserve"> will be needed to strengthen areas</w:t>
            </w:r>
          </w:p>
        </w:tc>
      </w:tr>
      <w:tr w:rsidR="00D406A8" w14:paraId="728A98D3" w14:textId="77777777" w:rsidTr="009B5A05">
        <w:tc>
          <w:tcPr>
            <w:tcW w:w="1528" w:type="dxa"/>
          </w:tcPr>
          <w:p w14:paraId="2452FB04" w14:textId="4C183096" w:rsidR="00D406A8" w:rsidRDefault="00BD1343" w:rsidP="00D406A8">
            <w:r>
              <w:lastRenderedPageBreak/>
              <w:t>Public Toilets</w:t>
            </w:r>
          </w:p>
        </w:tc>
        <w:tc>
          <w:tcPr>
            <w:tcW w:w="3429" w:type="dxa"/>
          </w:tcPr>
          <w:p w14:paraId="1E748DB0" w14:textId="77777777" w:rsidR="00D406A8" w:rsidRDefault="00D406A8" w:rsidP="00D406A8"/>
        </w:tc>
        <w:tc>
          <w:tcPr>
            <w:tcW w:w="4536" w:type="dxa"/>
          </w:tcPr>
          <w:p w14:paraId="786C6C7B" w14:textId="5C6C6484" w:rsidR="00D406A8" w:rsidRDefault="00BD1343" w:rsidP="00D406A8">
            <w:r>
              <w:t>Budget increase to reflect increase in water and energy</w:t>
            </w:r>
          </w:p>
        </w:tc>
      </w:tr>
      <w:tr w:rsidR="00D406A8" w14:paraId="4E3B56DC" w14:textId="77777777" w:rsidTr="009B5A05">
        <w:tc>
          <w:tcPr>
            <w:tcW w:w="1528" w:type="dxa"/>
          </w:tcPr>
          <w:p w14:paraId="4C909E6A" w14:textId="08C2EAEB" w:rsidR="00D406A8" w:rsidRDefault="00492713" w:rsidP="00D406A8">
            <w:r>
              <w:t>Vat data</w:t>
            </w:r>
          </w:p>
        </w:tc>
        <w:tc>
          <w:tcPr>
            <w:tcW w:w="3429" w:type="dxa"/>
          </w:tcPr>
          <w:p w14:paraId="631A1D7A" w14:textId="7844EA3A" w:rsidR="00D406A8" w:rsidRDefault="001061ED" w:rsidP="00D406A8">
            <w:r>
              <w:t xml:space="preserve">Historically the PC </w:t>
            </w:r>
            <w:r w:rsidR="0068187C">
              <w:t>includes an estimation which is reflected in the Payments, and effectively they cancel each other out. The VAT refund expected would have already been paid</w:t>
            </w:r>
            <w:r w:rsidR="00B65CD0">
              <w:t xml:space="preserve"> and</w:t>
            </w:r>
            <w:r w:rsidR="0068187C">
              <w:t xml:space="preserve"> accounted for </w:t>
            </w:r>
            <w:r w:rsidR="00A9428E">
              <w:t xml:space="preserve">in the quarterly report to indicate </w:t>
            </w:r>
            <w:r w:rsidR="004C7D71">
              <w:t xml:space="preserve">the </w:t>
            </w:r>
            <w:r w:rsidR="00A9428E">
              <w:t>amounts due.</w:t>
            </w:r>
            <w:r w:rsidR="00F95F5E">
              <w:t xml:space="preserve"> </w:t>
            </w:r>
          </w:p>
        </w:tc>
        <w:tc>
          <w:tcPr>
            <w:tcW w:w="4536" w:type="dxa"/>
          </w:tcPr>
          <w:p w14:paraId="7BE9AA68" w14:textId="19721248" w:rsidR="00D406A8" w:rsidRDefault="00492713" w:rsidP="00D406A8">
            <w:r>
              <w:t>Estima</w:t>
            </w:r>
            <w:r w:rsidR="00624448">
              <w:t>te</w:t>
            </w:r>
          </w:p>
        </w:tc>
      </w:tr>
    </w:tbl>
    <w:p w14:paraId="34D1F60F" w14:textId="77777777" w:rsidR="00CD3A2A" w:rsidRDefault="00CD3A2A"/>
    <w:p w14:paraId="55290A54" w14:textId="7E67A7FC" w:rsidR="00AD7CBC" w:rsidRDefault="000D73CC">
      <w:r>
        <w:t>During its preparation, t</w:t>
      </w:r>
      <w:r w:rsidR="00475F1D">
        <w:t xml:space="preserve">he budget </w:t>
      </w:r>
      <w:r>
        <w:t>has</w:t>
      </w:r>
      <w:r w:rsidR="00475F1D">
        <w:t xml:space="preserve"> been reviewed </w:t>
      </w:r>
      <w:proofErr w:type="gramStart"/>
      <w:r w:rsidR="00475F1D">
        <w:t>a number of</w:t>
      </w:r>
      <w:proofErr w:type="gramEnd"/>
      <w:r w:rsidR="00475F1D">
        <w:t xml:space="preserve"> times in an attempt to reduce costs wherever possible without affecting service delivery. However</w:t>
      </w:r>
      <w:r w:rsidR="005E29C4">
        <w:t>, it should be noted that if projections are accurate, there will be a</w:t>
      </w:r>
      <w:r w:rsidR="00B929BC">
        <w:t xml:space="preserve"> net of Payments over Receipts of -£2</w:t>
      </w:r>
      <w:r w:rsidR="0002631C">
        <w:t>2</w:t>
      </w:r>
      <w:r w:rsidR="00B929BC">
        <w:t>,</w:t>
      </w:r>
      <w:r w:rsidR="0002631C">
        <w:t>60</w:t>
      </w:r>
      <w:r w:rsidR="008D3C78">
        <w:t>8</w:t>
      </w:r>
      <w:r w:rsidR="00A15E2A">
        <w:t>.00.</w:t>
      </w:r>
      <w:r w:rsidR="00B929BC">
        <w:t xml:space="preserve"> </w:t>
      </w:r>
      <w:r w:rsidR="008D3C78">
        <w:t xml:space="preserve">If incurred, this shortfall </w:t>
      </w:r>
      <w:r w:rsidR="00742D8E">
        <w:t xml:space="preserve">will </w:t>
      </w:r>
      <w:r w:rsidR="006B0475">
        <w:t xml:space="preserve">be met </w:t>
      </w:r>
      <w:proofErr w:type="gramStart"/>
      <w:r w:rsidR="006B0475">
        <w:t xml:space="preserve">by </w:t>
      </w:r>
      <w:r w:rsidR="00742D8E">
        <w:t xml:space="preserve"> General</w:t>
      </w:r>
      <w:proofErr w:type="gramEnd"/>
      <w:r w:rsidR="00742D8E">
        <w:t xml:space="preserve"> Reserves </w:t>
      </w:r>
      <w:r w:rsidR="00F7574D">
        <w:t xml:space="preserve">as a </w:t>
      </w:r>
      <w:r w:rsidR="00AD7CBC">
        <w:t>result,</w:t>
      </w:r>
      <w:r w:rsidR="003E092A">
        <w:t xml:space="preserve"> </w:t>
      </w:r>
      <w:r w:rsidR="006B0475">
        <w:t xml:space="preserve"> but they will remain at </w:t>
      </w:r>
      <w:r w:rsidR="00A15E2A">
        <w:t>a</w:t>
      </w:r>
      <w:r w:rsidR="001A7C4D">
        <w:t>n adequate</w:t>
      </w:r>
      <w:r w:rsidR="006B0475">
        <w:t xml:space="preserve"> level</w:t>
      </w:r>
      <w:r w:rsidR="00DD3505">
        <w:t xml:space="preserve"> as the</w:t>
      </w:r>
      <w:r w:rsidR="003835D7">
        <w:t>se workings show:</w:t>
      </w:r>
    </w:p>
    <w:p w14:paraId="6F277E0D" w14:textId="1B6B7A4B" w:rsidR="003835D7" w:rsidRDefault="003835D7" w:rsidP="00535552">
      <w:pPr>
        <w:spacing w:after="0"/>
      </w:pPr>
      <w:r>
        <w:t>Balances at the start of 2024/2025</w:t>
      </w:r>
      <w:r>
        <w:tab/>
      </w:r>
      <w:r>
        <w:tab/>
      </w:r>
      <w:r w:rsidR="006A1023">
        <w:t>£192.833.00</w:t>
      </w:r>
    </w:p>
    <w:p w14:paraId="673481C6" w14:textId="480284F8" w:rsidR="006A1023" w:rsidRDefault="006A1023" w:rsidP="00535552">
      <w:pPr>
        <w:spacing w:after="0"/>
      </w:pPr>
      <w:r>
        <w:t>Add budgeted Receipts</w:t>
      </w:r>
      <w:r>
        <w:tab/>
      </w:r>
      <w:r>
        <w:tab/>
      </w:r>
      <w:r>
        <w:tab/>
      </w:r>
      <w:r>
        <w:tab/>
        <w:t>£69,550.00</w:t>
      </w:r>
    </w:p>
    <w:p w14:paraId="4A5AFC13" w14:textId="28D468D4" w:rsidR="006A1023" w:rsidRDefault="006A1023" w:rsidP="00535552">
      <w:pPr>
        <w:spacing w:after="0"/>
      </w:pPr>
      <w:r>
        <w:t xml:space="preserve">Minus </w:t>
      </w:r>
      <w:r w:rsidR="004F014A">
        <w:t>b</w:t>
      </w:r>
      <w:r>
        <w:t>udgeted Payments</w:t>
      </w:r>
      <w:r>
        <w:tab/>
      </w:r>
      <w:r>
        <w:tab/>
      </w:r>
      <w:r>
        <w:tab/>
        <w:t>-£</w:t>
      </w:r>
      <w:r w:rsidR="000637B6">
        <w:t>92,608.00</w:t>
      </w:r>
    </w:p>
    <w:p w14:paraId="787FC65F" w14:textId="21B5F514" w:rsidR="000637B6" w:rsidRDefault="000637B6" w:rsidP="00535552">
      <w:pPr>
        <w:spacing w:after="0"/>
      </w:pPr>
      <w:r>
        <w:t xml:space="preserve">Balance carried forward: </w:t>
      </w:r>
      <w:r>
        <w:tab/>
      </w:r>
      <w:r>
        <w:tab/>
      </w:r>
      <w:r w:rsidR="00CA2DCA">
        <w:tab/>
        <w:t>£169,775.00 (Earmarked and General Reserves)</w:t>
      </w:r>
    </w:p>
    <w:p w14:paraId="11BAF39C" w14:textId="77777777" w:rsidR="001A7C4D" w:rsidRDefault="001A7C4D"/>
    <w:p w14:paraId="27418EF6" w14:textId="4E8B1413" w:rsidR="006B0475" w:rsidRDefault="006B0475">
      <w:r>
        <w:t>There are a number of cost centres that may not incur the expenditure</w:t>
      </w:r>
      <w:r w:rsidR="00564CF8">
        <w:t xml:space="preserve"> listed, but it is prudent to include </w:t>
      </w:r>
      <w:r w:rsidR="00440770">
        <w:t>them</w:t>
      </w:r>
      <w:r w:rsidR="00111F61">
        <w:t xml:space="preserve"> at such levels</w:t>
      </w:r>
      <w:r w:rsidR="00564CF8">
        <w:t xml:space="preserve"> </w:t>
      </w:r>
      <w:proofErr w:type="gramStart"/>
      <w:r w:rsidR="00564CF8">
        <w:t>( elections</w:t>
      </w:r>
      <w:proofErr w:type="gramEnd"/>
      <w:r w:rsidR="00440770">
        <w:t xml:space="preserve"> and </w:t>
      </w:r>
      <w:r w:rsidR="0062140C">
        <w:t>general maintenance</w:t>
      </w:r>
      <w:r w:rsidR="00440770">
        <w:t>).</w:t>
      </w:r>
    </w:p>
    <w:p w14:paraId="1A677281" w14:textId="23CFB9B3" w:rsidR="00440770" w:rsidRDefault="00D35614">
      <w:r>
        <w:t>There may also be additional expenditure in terms of capital purchases (play</w:t>
      </w:r>
      <w:r w:rsidR="00507FC1">
        <w:t xml:space="preserve"> </w:t>
      </w:r>
      <w:r>
        <w:t>areas</w:t>
      </w:r>
      <w:proofErr w:type="gramStart"/>
      <w:r>
        <w:t>)</w:t>
      </w:r>
      <w:proofErr w:type="gramEnd"/>
      <w:r>
        <w:t xml:space="preserve"> but </w:t>
      </w:r>
      <w:r w:rsidR="00760B82">
        <w:t>those</w:t>
      </w:r>
      <w:r>
        <w:t xml:space="preserve"> transactions are treated differently</w:t>
      </w:r>
      <w:r w:rsidR="00E90439">
        <w:t>, as funds would originate from</w:t>
      </w:r>
      <w:r w:rsidR="00507FC1">
        <w:t xml:space="preserve"> Earmarked Reserves and external capital funding </w:t>
      </w:r>
      <w:r w:rsidR="00E90439">
        <w:t>secured.</w:t>
      </w:r>
    </w:p>
    <w:p w14:paraId="34DC5A93" w14:textId="0AFC8DAF" w:rsidR="0096418F" w:rsidRDefault="00AD7CBC">
      <w:r>
        <w:t xml:space="preserve">The precept increase being recommended </w:t>
      </w:r>
      <w:r w:rsidR="002726AE">
        <w:t>is neglig</w:t>
      </w:r>
      <w:r w:rsidR="006A1454">
        <w:t>i</w:t>
      </w:r>
      <w:r w:rsidR="002726AE">
        <w:t xml:space="preserve">ble as an </w:t>
      </w:r>
      <w:r w:rsidR="00E25904">
        <w:t>actual</w:t>
      </w:r>
      <w:r w:rsidR="002726AE">
        <w:t xml:space="preserve"> amount </w:t>
      </w:r>
      <w:proofErr w:type="gramStart"/>
      <w:r w:rsidR="002726AE">
        <w:t>and also</w:t>
      </w:r>
      <w:proofErr w:type="gramEnd"/>
      <w:r w:rsidR="002726AE">
        <w:t xml:space="preserve"> as a percentage</w:t>
      </w:r>
      <w:r w:rsidR="00E25904">
        <w:t xml:space="preserve"> (please refer to </w:t>
      </w:r>
      <w:r w:rsidR="00EF3D01">
        <w:t>the Precept Note 2024)</w:t>
      </w:r>
      <w:r w:rsidR="00D75499">
        <w:t>.</w:t>
      </w:r>
    </w:p>
    <w:p w14:paraId="2FFAD28D" w14:textId="77777777" w:rsidR="00E803E4" w:rsidRDefault="00E803E4"/>
    <w:p w14:paraId="0515F15B" w14:textId="36996E42" w:rsidR="00E803E4" w:rsidRDefault="00E803E4">
      <w:r>
        <w:t>Dina Bedwell</w:t>
      </w:r>
    </w:p>
    <w:p w14:paraId="05057A53" w14:textId="34930D1A" w:rsidR="00E803E4" w:rsidRDefault="00E803E4">
      <w:r>
        <w:t>January 2024</w:t>
      </w:r>
    </w:p>
    <w:p w14:paraId="75A8B0B7" w14:textId="77777777" w:rsidR="0096418F" w:rsidRDefault="0096418F"/>
    <w:p w14:paraId="331B4483" w14:textId="77777777" w:rsidR="0096418F" w:rsidRDefault="0096418F"/>
    <w:p w14:paraId="4683383A" w14:textId="77777777" w:rsidR="0096418F" w:rsidRDefault="0096418F"/>
    <w:sectPr w:rsidR="0096418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B375A" w14:textId="77777777" w:rsidR="00EE0311" w:rsidRDefault="00EE0311" w:rsidP="00981DCD">
      <w:pPr>
        <w:spacing w:after="0" w:line="240" w:lineRule="auto"/>
      </w:pPr>
      <w:r>
        <w:separator/>
      </w:r>
    </w:p>
  </w:endnote>
  <w:endnote w:type="continuationSeparator" w:id="0">
    <w:p w14:paraId="1127690C" w14:textId="77777777" w:rsidR="00EE0311" w:rsidRDefault="00EE0311" w:rsidP="00981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69EB" w14:textId="77777777" w:rsidR="0054749C" w:rsidRDefault="00547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669595"/>
      <w:docPartObj>
        <w:docPartGallery w:val="Page Numbers (Bottom of Page)"/>
        <w:docPartUnique/>
      </w:docPartObj>
    </w:sdtPr>
    <w:sdtEndPr>
      <w:rPr>
        <w:noProof/>
      </w:rPr>
    </w:sdtEndPr>
    <w:sdtContent>
      <w:p w14:paraId="13F573FC" w14:textId="2B741DC8" w:rsidR="0054749C" w:rsidRDefault="005474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6E26E7" w14:textId="77777777" w:rsidR="0054749C" w:rsidRDefault="00547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95B8" w14:textId="77777777" w:rsidR="0054749C" w:rsidRDefault="00547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4D0C" w14:textId="77777777" w:rsidR="00EE0311" w:rsidRDefault="00EE0311" w:rsidP="00981DCD">
      <w:pPr>
        <w:spacing w:after="0" w:line="240" w:lineRule="auto"/>
      </w:pPr>
      <w:r>
        <w:separator/>
      </w:r>
    </w:p>
  </w:footnote>
  <w:footnote w:type="continuationSeparator" w:id="0">
    <w:p w14:paraId="57741D64" w14:textId="77777777" w:rsidR="00EE0311" w:rsidRDefault="00EE0311" w:rsidP="00981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2588" w14:textId="77777777" w:rsidR="0054749C" w:rsidRDefault="00547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ED2D" w14:textId="77777777" w:rsidR="0054749C" w:rsidRDefault="005474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6B43" w14:textId="77777777" w:rsidR="0054749C" w:rsidRDefault="005474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0NDazMDa3tDQzNzFQ0lEKTi0uzszPAykwrgUAc7pYpCwAAAA="/>
  </w:docVars>
  <w:rsids>
    <w:rsidRoot w:val="0096418F"/>
    <w:rsid w:val="00004835"/>
    <w:rsid w:val="00014FA1"/>
    <w:rsid w:val="00022BF7"/>
    <w:rsid w:val="00023CF0"/>
    <w:rsid w:val="00024A4D"/>
    <w:rsid w:val="0002631C"/>
    <w:rsid w:val="0002774D"/>
    <w:rsid w:val="00027F20"/>
    <w:rsid w:val="000305D7"/>
    <w:rsid w:val="000475F2"/>
    <w:rsid w:val="00051B7E"/>
    <w:rsid w:val="00056BC3"/>
    <w:rsid w:val="000637B6"/>
    <w:rsid w:val="00066B88"/>
    <w:rsid w:val="00087345"/>
    <w:rsid w:val="00091E17"/>
    <w:rsid w:val="000D73CC"/>
    <w:rsid w:val="000D7A1C"/>
    <w:rsid w:val="000E4676"/>
    <w:rsid w:val="00105CF2"/>
    <w:rsid w:val="001061ED"/>
    <w:rsid w:val="00111F61"/>
    <w:rsid w:val="0012149A"/>
    <w:rsid w:val="00133B51"/>
    <w:rsid w:val="00161CB8"/>
    <w:rsid w:val="00195AC8"/>
    <w:rsid w:val="001A2F0F"/>
    <w:rsid w:val="001A7C4D"/>
    <w:rsid w:val="001B2614"/>
    <w:rsid w:val="001C66E8"/>
    <w:rsid w:val="001D6985"/>
    <w:rsid w:val="001E161C"/>
    <w:rsid w:val="001E5136"/>
    <w:rsid w:val="00210B37"/>
    <w:rsid w:val="00233C1B"/>
    <w:rsid w:val="00250681"/>
    <w:rsid w:val="00253A9F"/>
    <w:rsid w:val="002726AE"/>
    <w:rsid w:val="00272714"/>
    <w:rsid w:val="00281C8B"/>
    <w:rsid w:val="002914D2"/>
    <w:rsid w:val="00294306"/>
    <w:rsid w:val="002C64B2"/>
    <w:rsid w:val="0031013F"/>
    <w:rsid w:val="00320528"/>
    <w:rsid w:val="0032394D"/>
    <w:rsid w:val="003410F4"/>
    <w:rsid w:val="00361AB0"/>
    <w:rsid w:val="003835D7"/>
    <w:rsid w:val="00383855"/>
    <w:rsid w:val="003B528F"/>
    <w:rsid w:val="003C6335"/>
    <w:rsid w:val="003C7E8C"/>
    <w:rsid w:val="003D1B0D"/>
    <w:rsid w:val="003D47FB"/>
    <w:rsid w:val="003E092A"/>
    <w:rsid w:val="003F1A4D"/>
    <w:rsid w:val="003F1DB8"/>
    <w:rsid w:val="003F7BFF"/>
    <w:rsid w:val="00400B56"/>
    <w:rsid w:val="00401976"/>
    <w:rsid w:val="00412B51"/>
    <w:rsid w:val="0041680C"/>
    <w:rsid w:val="00421CE1"/>
    <w:rsid w:val="00440770"/>
    <w:rsid w:val="0046009B"/>
    <w:rsid w:val="004653F3"/>
    <w:rsid w:val="004718DB"/>
    <w:rsid w:val="0047534E"/>
    <w:rsid w:val="00475F1D"/>
    <w:rsid w:val="004853D0"/>
    <w:rsid w:val="004856FB"/>
    <w:rsid w:val="0049265F"/>
    <w:rsid w:val="00492713"/>
    <w:rsid w:val="004958C0"/>
    <w:rsid w:val="0049654A"/>
    <w:rsid w:val="004B75B5"/>
    <w:rsid w:val="004C0888"/>
    <w:rsid w:val="004C7D71"/>
    <w:rsid w:val="004D7DEA"/>
    <w:rsid w:val="004F014A"/>
    <w:rsid w:val="00507FC1"/>
    <w:rsid w:val="00535552"/>
    <w:rsid w:val="0054749C"/>
    <w:rsid w:val="00556849"/>
    <w:rsid w:val="00564CF8"/>
    <w:rsid w:val="005900CB"/>
    <w:rsid w:val="005A0DF3"/>
    <w:rsid w:val="005B06D9"/>
    <w:rsid w:val="005D03E8"/>
    <w:rsid w:val="005D20FE"/>
    <w:rsid w:val="005D3415"/>
    <w:rsid w:val="005E29C4"/>
    <w:rsid w:val="0062140C"/>
    <w:rsid w:val="00624448"/>
    <w:rsid w:val="00630663"/>
    <w:rsid w:val="00652255"/>
    <w:rsid w:val="00654366"/>
    <w:rsid w:val="00670C24"/>
    <w:rsid w:val="00680A4D"/>
    <w:rsid w:val="00681299"/>
    <w:rsid w:val="0068187C"/>
    <w:rsid w:val="00684130"/>
    <w:rsid w:val="00685591"/>
    <w:rsid w:val="006954F2"/>
    <w:rsid w:val="006A1023"/>
    <w:rsid w:val="006A1454"/>
    <w:rsid w:val="006B0475"/>
    <w:rsid w:val="006B6306"/>
    <w:rsid w:val="006C6EC5"/>
    <w:rsid w:val="006D17D8"/>
    <w:rsid w:val="006E1C7A"/>
    <w:rsid w:val="007046FE"/>
    <w:rsid w:val="0072274B"/>
    <w:rsid w:val="00733036"/>
    <w:rsid w:val="007336CF"/>
    <w:rsid w:val="00742D8E"/>
    <w:rsid w:val="00755E34"/>
    <w:rsid w:val="00760B82"/>
    <w:rsid w:val="00771FD3"/>
    <w:rsid w:val="00772690"/>
    <w:rsid w:val="007764E6"/>
    <w:rsid w:val="007A6466"/>
    <w:rsid w:val="007B3B65"/>
    <w:rsid w:val="007B478F"/>
    <w:rsid w:val="007E48BC"/>
    <w:rsid w:val="007E510C"/>
    <w:rsid w:val="007F20A1"/>
    <w:rsid w:val="008010FC"/>
    <w:rsid w:val="008030ED"/>
    <w:rsid w:val="0080359B"/>
    <w:rsid w:val="00807A75"/>
    <w:rsid w:val="00816612"/>
    <w:rsid w:val="00831CCB"/>
    <w:rsid w:val="0084073C"/>
    <w:rsid w:val="00867F82"/>
    <w:rsid w:val="00892549"/>
    <w:rsid w:val="00896301"/>
    <w:rsid w:val="008B7DAD"/>
    <w:rsid w:val="008C1398"/>
    <w:rsid w:val="008C1E1B"/>
    <w:rsid w:val="008D153F"/>
    <w:rsid w:val="008D3C78"/>
    <w:rsid w:val="008D71EA"/>
    <w:rsid w:val="0090566F"/>
    <w:rsid w:val="009100BC"/>
    <w:rsid w:val="00920152"/>
    <w:rsid w:val="00923A2D"/>
    <w:rsid w:val="00950F3F"/>
    <w:rsid w:val="00953E2D"/>
    <w:rsid w:val="0096418F"/>
    <w:rsid w:val="00975B65"/>
    <w:rsid w:val="00975D84"/>
    <w:rsid w:val="00981DCD"/>
    <w:rsid w:val="0099424A"/>
    <w:rsid w:val="009A10CE"/>
    <w:rsid w:val="009A347F"/>
    <w:rsid w:val="009A4DC1"/>
    <w:rsid w:val="009B34A3"/>
    <w:rsid w:val="009B5A05"/>
    <w:rsid w:val="009D426A"/>
    <w:rsid w:val="009E0EC5"/>
    <w:rsid w:val="009F1AF8"/>
    <w:rsid w:val="009F3615"/>
    <w:rsid w:val="009F6157"/>
    <w:rsid w:val="00A029B4"/>
    <w:rsid w:val="00A130A1"/>
    <w:rsid w:val="00A15E2A"/>
    <w:rsid w:val="00A43FFC"/>
    <w:rsid w:val="00A53B87"/>
    <w:rsid w:val="00A64C6A"/>
    <w:rsid w:val="00A747B2"/>
    <w:rsid w:val="00A76342"/>
    <w:rsid w:val="00A76797"/>
    <w:rsid w:val="00A86B81"/>
    <w:rsid w:val="00A9428E"/>
    <w:rsid w:val="00A97F5E"/>
    <w:rsid w:val="00AA1867"/>
    <w:rsid w:val="00AA50FC"/>
    <w:rsid w:val="00AA75FD"/>
    <w:rsid w:val="00AB2E8E"/>
    <w:rsid w:val="00AB348F"/>
    <w:rsid w:val="00AC03E7"/>
    <w:rsid w:val="00AD6D8F"/>
    <w:rsid w:val="00AD7CBC"/>
    <w:rsid w:val="00AE10B5"/>
    <w:rsid w:val="00B42757"/>
    <w:rsid w:val="00B43DDA"/>
    <w:rsid w:val="00B65CD0"/>
    <w:rsid w:val="00B831F0"/>
    <w:rsid w:val="00B929BC"/>
    <w:rsid w:val="00BA0FF9"/>
    <w:rsid w:val="00BA6AE6"/>
    <w:rsid w:val="00BB0E4C"/>
    <w:rsid w:val="00BB19BA"/>
    <w:rsid w:val="00BC20D2"/>
    <w:rsid w:val="00BD1343"/>
    <w:rsid w:val="00BF12CF"/>
    <w:rsid w:val="00C05754"/>
    <w:rsid w:val="00C1471B"/>
    <w:rsid w:val="00C278AC"/>
    <w:rsid w:val="00C473E3"/>
    <w:rsid w:val="00C5189B"/>
    <w:rsid w:val="00C5633C"/>
    <w:rsid w:val="00C639C4"/>
    <w:rsid w:val="00C63FC4"/>
    <w:rsid w:val="00C74397"/>
    <w:rsid w:val="00C7687E"/>
    <w:rsid w:val="00CA2DCA"/>
    <w:rsid w:val="00CA6497"/>
    <w:rsid w:val="00CD3A2A"/>
    <w:rsid w:val="00CE6517"/>
    <w:rsid w:val="00CF218B"/>
    <w:rsid w:val="00CF4A21"/>
    <w:rsid w:val="00D03CBA"/>
    <w:rsid w:val="00D216A6"/>
    <w:rsid w:val="00D331DC"/>
    <w:rsid w:val="00D35614"/>
    <w:rsid w:val="00D37092"/>
    <w:rsid w:val="00D406A8"/>
    <w:rsid w:val="00D4629D"/>
    <w:rsid w:val="00D633E8"/>
    <w:rsid w:val="00D75499"/>
    <w:rsid w:val="00DA0EC5"/>
    <w:rsid w:val="00DB3557"/>
    <w:rsid w:val="00DB47A1"/>
    <w:rsid w:val="00DD1A0C"/>
    <w:rsid w:val="00DD3505"/>
    <w:rsid w:val="00DE17D3"/>
    <w:rsid w:val="00DE49E5"/>
    <w:rsid w:val="00DF114B"/>
    <w:rsid w:val="00DF6762"/>
    <w:rsid w:val="00E0260E"/>
    <w:rsid w:val="00E06FBB"/>
    <w:rsid w:val="00E15FCC"/>
    <w:rsid w:val="00E25904"/>
    <w:rsid w:val="00E406AF"/>
    <w:rsid w:val="00E55535"/>
    <w:rsid w:val="00E803E4"/>
    <w:rsid w:val="00E90439"/>
    <w:rsid w:val="00EB588F"/>
    <w:rsid w:val="00ED5C2D"/>
    <w:rsid w:val="00EE0311"/>
    <w:rsid w:val="00EF3D01"/>
    <w:rsid w:val="00F315CC"/>
    <w:rsid w:val="00F444A9"/>
    <w:rsid w:val="00F4570F"/>
    <w:rsid w:val="00F514E7"/>
    <w:rsid w:val="00F51D52"/>
    <w:rsid w:val="00F74B24"/>
    <w:rsid w:val="00F7574D"/>
    <w:rsid w:val="00F845DE"/>
    <w:rsid w:val="00F87500"/>
    <w:rsid w:val="00F904B9"/>
    <w:rsid w:val="00F95F5E"/>
    <w:rsid w:val="00FA2B31"/>
    <w:rsid w:val="00FC0BA1"/>
    <w:rsid w:val="00FC6BB9"/>
    <w:rsid w:val="00FD61CF"/>
    <w:rsid w:val="00FD6D92"/>
    <w:rsid w:val="00FE1501"/>
    <w:rsid w:val="00FE23EA"/>
    <w:rsid w:val="00FE528F"/>
    <w:rsid w:val="00FF6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B478"/>
  <w15:chartTrackingRefBased/>
  <w15:docId w15:val="{503B9320-365B-454E-92D5-80290DB7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D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3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81D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1DCD"/>
    <w:rPr>
      <w:kern w:val="0"/>
      <w:sz w:val="20"/>
      <w:szCs w:val="20"/>
      <w14:ligatures w14:val="none"/>
    </w:rPr>
  </w:style>
  <w:style w:type="character" w:styleId="EndnoteReference">
    <w:name w:val="endnote reference"/>
    <w:basedOn w:val="DefaultParagraphFont"/>
    <w:uiPriority w:val="99"/>
    <w:semiHidden/>
    <w:unhideWhenUsed/>
    <w:rsid w:val="00981DCD"/>
    <w:rPr>
      <w:vertAlign w:val="superscript"/>
    </w:rPr>
  </w:style>
  <w:style w:type="paragraph" w:styleId="Header">
    <w:name w:val="header"/>
    <w:basedOn w:val="Normal"/>
    <w:link w:val="HeaderChar"/>
    <w:uiPriority w:val="99"/>
    <w:unhideWhenUsed/>
    <w:rsid w:val="00547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49C"/>
    <w:rPr>
      <w:kern w:val="0"/>
      <w14:ligatures w14:val="none"/>
    </w:rPr>
  </w:style>
  <w:style w:type="paragraph" w:styleId="Footer">
    <w:name w:val="footer"/>
    <w:basedOn w:val="Normal"/>
    <w:link w:val="FooterChar"/>
    <w:uiPriority w:val="99"/>
    <w:unhideWhenUsed/>
    <w:rsid w:val="00547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49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83b989-3d40-41bb-bc4b-4cfebaa7c6a3">
      <Terms xmlns="http://schemas.microsoft.com/office/infopath/2007/PartnerControls"/>
    </lcf76f155ced4ddcb4097134ff3c332f>
    <TaxCatchAll xmlns="7572e475-1623-41dd-891c-a360072e9e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9ABBAD94097A48BA9A733AA0C5E9B8" ma:contentTypeVersion="14" ma:contentTypeDescription="Create a new document." ma:contentTypeScope="" ma:versionID="f76eed36134de487c9d9b9959d90592f">
  <xsd:schema xmlns:xsd="http://www.w3.org/2001/XMLSchema" xmlns:xs="http://www.w3.org/2001/XMLSchema" xmlns:p="http://schemas.microsoft.com/office/2006/metadata/properties" xmlns:ns2="1683b989-3d40-41bb-bc4b-4cfebaa7c6a3" xmlns:ns3="7572e475-1623-41dd-891c-a360072e9e62" targetNamespace="http://schemas.microsoft.com/office/2006/metadata/properties" ma:root="true" ma:fieldsID="c9aa0d6f01b08fa3292a48057b001215" ns2:_="" ns3:_="">
    <xsd:import namespace="1683b989-3d40-41bb-bc4b-4cfebaa7c6a3"/>
    <xsd:import namespace="7572e475-1623-41dd-891c-a360072e9e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3b989-3d40-41bb-bc4b-4cfebaa7c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ead9d5-26eb-4ba3-a142-cce1c9c722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72e475-1623-41dd-891c-a360072e9e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79efb1-ab96-4d32-a66a-b04b92a2084e}" ma:internalName="TaxCatchAll" ma:showField="CatchAllData" ma:web="7572e475-1623-41dd-891c-a360072e9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D2352-C9DF-4C59-B298-6D46A3B068F6}">
  <ds:schemaRefs>
    <ds:schemaRef ds:uri="http://schemas.openxmlformats.org/officeDocument/2006/bibliography"/>
  </ds:schemaRefs>
</ds:datastoreItem>
</file>

<file path=customXml/itemProps2.xml><?xml version="1.0" encoding="utf-8"?>
<ds:datastoreItem xmlns:ds="http://schemas.openxmlformats.org/officeDocument/2006/customXml" ds:itemID="{191418DC-D68A-47F3-BFCC-A2DCBFE796F3}">
  <ds:schemaRefs>
    <ds:schemaRef ds:uri="http://schemas.microsoft.com/office/2006/metadata/properties"/>
    <ds:schemaRef ds:uri="http://schemas.microsoft.com/office/infopath/2007/PartnerControls"/>
    <ds:schemaRef ds:uri="1683b989-3d40-41bb-bc4b-4cfebaa7c6a3"/>
    <ds:schemaRef ds:uri="7572e475-1623-41dd-891c-a360072e9e62"/>
  </ds:schemaRefs>
</ds:datastoreItem>
</file>

<file path=customXml/itemProps3.xml><?xml version="1.0" encoding="utf-8"?>
<ds:datastoreItem xmlns:ds="http://schemas.openxmlformats.org/officeDocument/2006/customXml" ds:itemID="{E3928EDE-6E30-4FC7-8BD0-948DB85D6E21}">
  <ds:schemaRefs>
    <ds:schemaRef ds:uri="http://schemas.microsoft.com/sharepoint/v3/contenttype/forms"/>
  </ds:schemaRefs>
</ds:datastoreItem>
</file>

<file path=customXml/itemProps4.xml><?xml version="1.0" encoding="utf-8"?>
<ds:datastoreItem xmlns:ds="http://schemas.openxmlformats.org/officeDocument/2006/customXml" ds:itemID="{D3445020-3447-4A3D-B307-4E851D168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3b989-3d40-41bb-bc4b-4cfebaa7c6a3"/>
    <ds:schemaRef ds:uri="7572e475-1623-41dd-891c-a360072e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Bedwell</dc:creator>
  <cp:keywords/>
  <dc:description/>
  <cp:lastModifiedBy>Dina Bedwell</cp:lastModifiedBy>
  <cp:revision>22</cp:revision>
  <cp:lastPrinted>2024-01-17T19:45:00Z</cp:lastPrinted>
  <dcterms:created xsi:type="dcterms:W3CDTF">2024-01-17T19:46:00Z</dcterms:created>
  <dcterms:modified xsi:type="dcterms:W3CDTF">2024-01-17T20:03:00Z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0x010100CF9ABBAD94097A48BA9A733AA0C5E9B8</vt:lpwstr>
  </property>
</Properties>
</file>